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885"/>
        <w:tblW w:w="14425" w:type="dxa"/>
        <w:tblBorders>
          <w:bottom w:val="single" w:sz="4" w:space="0" w:color="auto"/>
        </w:tblBorders>
        <w:shd w:val="clear" w:color="auto" w:fill="FFFFFF" w:themeFill="background1"/>
        <w:tblLayout w:type="fixed"/>
        <w:tblLook w:val="04A0" w:firstRow="1" w:lastRow="0" w:firstColumn="1" w:lastColumn="0" w:noHBand="0" w:noVBand="1"/>
      </w:tblPr>
      <w:tblGrid>
        <w:gridCol w:w="2660"/>
        <w:gridCol w:w="11765"/>
      </w:tblGrid>
      <w:tr w:rsidR="00C34BC4" w:rsidRPr="0073652A" w:rsidTr="00AD6C2F">
        <w:trPr>
          <w:trHeight w:val="300"/>
        </w:trPr>
        <w:tc>
          <w:tcPr>
            <w:tcW w:w="2660" w:type="dxa"/>
            <w:tcBorders>
              <w:top w:val="nil"/>
              <w:bottom w:val="single" w:sz="4" w:space="0" w:color="auto"/>
            </w:tcBorders>
            <w:shd w:val="clear" w:color="auto" w:fill="FFFFFF" w:themeFill="background1"/>
            <w:hideMark/>
          </w:tcPr>
          <w:p w:rsidR="00C34BC4" w:rsidRPr="0073652A" w:rsidRDefault="00C34BC4" w:rsidP="00BD68AC">
            <w:pPr>
              <w:spacing w:after="0" w:line="240" w:lineRule="auto"/>
              <w:rPr>
                <w:rFonts w:ascii="Times New Roman" w:eastAsia="Times New Roman" w:hAnsi="Times New Roman" w:cs="Times New Roman"/>
                <w:color w:val="000000"/>
                <w:lang w:eastAsia="ru-RU"/>
              </w:rPr>
            </w:pPr>
          </w:p>
        </w:tc>
        <w:tc>
          <w:tcPr>
            <w:tcW w:w="11765" w:type="dxa"/>
            <w:tcBorders>
              <w:top w:val="nil"/>
              <w:bottom w:val="single" w:sz="4" w:space="0" w:color="auto"/>
            </w:tcBorders>
            <w:shd w:val="clear" w:color="auto" w:fill="FFFFFF" w:themeFill="background1"/>
            <w:hideMark/>
          </w:tcPr>
          <w:p w:rsidR="00C34BC4" w:rsidRPr="0073652A" w:rsidRDefault="00C34BC4" w:rsidP="00BD68AC">
            <w:pPr>
              <w:spacing w:after="0" w:line="240" w:lineRule="auto"/>
              <w:rPr>
                <w:rFonts w:ascii="Times New Roman" w:eastAsia="Times New Roman" w:hAnsi="Times New Roman" w:cs="Times New Roman"/>
                <w:color w:val="000000"/>
                <w:lang w:eastAsia="ru-RU"/>
              </w:rPr>
            </w:pPr>
            <w:r w:rsidRPr="0073652A">
              <w:rPr>
                <w:rFonts w:ascii="Times New Roman" w:eastAsia="Times New Roman" w:hAnsi="Times New Roman" w:cs="Times New Roman"/>
                <w:color w:val="000000"/>
                <w:lang w:eastAsia="ru-RU"/>
              </w:rPr>
              <w:t> </w:t>
            </w:r>
          </w:p>
        </w:tc>
      </w:tr>
      <w:tr w:rsidR="00C34BC4" w:rsidRPr="0073652A" w:rsidTr="00AD6C2F">
        <w:trPr>
          <w:trHeight w:val="855"/>
        </w:trPr>
        <w:tc>
          <w:tcPr>
            <w:tcW w:w="26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34BC4" w:rsidRPr="0073652A" w:rsidRDefault="00C34BC4" w:rsidP="00AD6C2F">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НАИМЕНОВАНИЕ СИЗ (для приобре</w:t>
            </w:r>
            <w:r w:rsidRPr="0073652A">
              <w:rPr>
                <w:rFonts w:ascii="Times New Roman" w:eastAsia="Times New Roman" w:hAnsi="Times New Roman" w:cs="Times New Roman"/>
                <w:b/>
                <w:bCs/>
                <w:color w:val="000000"/>
                <w:lang w:eastAsia="ru-RU"/>
              </w:rPr>
              <w:t>тения)</w:t>
            </w:r>
          </w:p>
        </w:tc>
        <w:tc>
          <w:tcPr>
            <w:tcW w:w="117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34BC4" w:rsidRPr="0073652A" w:rsidRDefault="00C34BC4" w:rsidP="00AD6C2F">
            <w:pPr>
              <w:spacing w:after="0" w:line="240" w:lineRule="auto"/>
              <w:jc w:val="center"/>
              <w:rPr>
                <w:rFonts w:ascii="Times New Roman" w:eastAsia="Times New Roman" w:hAnsi="Times New Roman" w:cs="Times New Roman"/>
                <w:b/>
                <w:bCs/>
                <w:color w:val="000000"/>
                <w:lang w:eastAsia="ru-RU"/>
              </w:rPr>
            </w:pPr>
            <w:r w:rsidRPr="0073652A">
              <w:rPr>
                <w:rFonts w:ascii="Times New Roman" w:eastAsia="Times New Roman" w:hAnsi="Times New Roman" w:cs="Times New Roman"/>
                <w:b/>
                <w:bCs/>
                <w:color w:val="000000"/>
                <w:lang w:eastAsia="ru-RU"/>
              </w:rPr>
              <w:t>Техническое описание</w:t>
            </w:r>
          </w:p>
        </w:tc>
      </w:tr>
      <w:tr w:rsidR="000B5B92" w:rsidRPr="0073652A" w:rsidTr="00AD6C2F">
        <w:trPr>
          <w:trHeight w:val="855"/>
        </w:trPr>
        <w:tc>
          <w:tcPr>
            <w:tcW w:w="2660" w:type="dxa"/>
            <w:tcBorders>
              <w:top w:val="single" w:sz="4" w:space="0" w:color="auto"/>
              <w:left w:val="single" w:sz="4" w:space="0" w:color="auto"/>
              <w:bottom w:val="single" w:sz="4" w:space="0" w:color="auto"/>
              <w:right w:val="single" w:sz="4" w:space="0" w:color="auto"/>
            </w:tcBorders>
            <w:shd w:val="clear" w:color="auto" w:fill="FFFFFF" w:themeFill="background1"/>
          </w:tcPr>
          <w:p w:rsidR="000B5B92" w:rsidRPr="001C7B45" w:rsidRDefault="000B5B92" w:rsidP="000B5B92">
            <w:pPr>
              <w:spacing w:after="0"/>
              <w:rPr>
                <w:rFonts w:ascii="Times New Roman" w:hAnsi="Times New Roman" w:cs="Times New Roman"/>
                <w:b/>
              </w:rPr>
            </w:pPr>
            <w:r w:rsidRPr="001C7B45">
              <w:rPr>
                <w:rFonts w:ascii="Times New Roman" w:hAnsi="Times New Roman" w:cs="Times New Roman"/>
                <w:b/>
              </w:rPr>
              <w:t>Привязь страховочная</w:t>
            </w:r>
          </w:p>
          <w:p w:rsidR="000B5B92" w:rsidRDefault="00896ABE" w:rsidP="000B5B92">
            <w:pPr>
              <w:spacing w:after="0"/>
              <w:rPr>
                <w:rFonts w:ascii="Times New Roman" w:hAnsi="Times New Roman" w:cs="Times New Roman"/>
                <w:b/>
              </w:rPr>
            </w:pPr>
            <w:r>
              <w:rPr>
                <w:rFonts w:ascii="Times New Roman" w:hAnsi="Times New Roman" w:cs="Times New Roman"/>
                <w:b/>
                <w:lang w:val="en-US"/>
              </w:rPr>
              <w:t>VENTO</w:t>
            </w:r>
            <w:r w:rsidRPr="00C03370">
              <w:rPr>
                <w:rFonts w:ascii="Times New Roman" w:hAnsi="Times New Roman" w:cs="Times New Roman"/>
                <w:b/>
              </w:rPr>
              <w:t xml:space="preserve"> </w:t>
            </w:r>
            <w:r>
              <w:rPr>
                <w:rFonts w:ascii="Times New Roman" w:hAnsi="Times New Roman" w:cs="Times New Roman"/>
                <w:b/>
              </w:rPr>
              <w:t>Высота 042</w:t>
            </w:r>
          </w:p>
          <w:p w:rsidR="00896ABE" w:rsidRPr="00896ABE" w:rsidRDefault="004F1596" w:rsidP="000B5B92">
            <w:pPr>
              <w:spacing w:after="0"/>
              <w:rPr>
                <w:rFonts w:ascii="Times New Roman" w:hAnsi="Times New Roman" w:cs="Times New Roman"/>
                <w:b/>
              </w:rPr>
            </w:pPr>
            <w:r>
              <w:rPr>
                <w:rFonts w:ascii="Times New Roman" w:hAnsi="Times New Roman" w:cs="Times New Roman"/>
                <w:b/>
              </w:rPr>
              <w:t>(размер 1)</w:t>
            </w:r>
          </w:p>
          <w:p w:rsidR="00C03370" w:rsidRPr="00C03370" w:rsidRDefault="00EC2CBA" w:rsidP="000B5B92">
            <w:pPr>
              <w:spacing w:after="0"/>
              <w:rPr>
                <w:rFonts w:ascii="Times New Roman" w:hAnsi="Times New Roman" w:cs="Times New Roman"/>
                <w:b/>
              </w:rPr>
            </w:pPr>
            <w:r>
              <w:rPr>
                <w:rFonts w:ascii="Times New Roman" w:hAnsi="Times New Roman" w:cs="Times New Roman"/>
                <w:b/>
              </w:rPr>
              <w:t>15</w:t>
            </w:r>
            <w:r w:rsidR="001B65CD">
              <w:rPr>
                <w:rFonts w:ascii="Times New Roman" w:hAnsi="Times New Roman" w:cs="Times New Roman"/>
                <w:b/>
              </w:rPr>
              <w:t xml:space="preserve"> шт.</w:t>
            </w:r>
          </w:p>
        </w:tc>
        <w:tc>
          <w:tcPr>
            <w:tcW w:w="11765" w:type="dxa"/>
            <w:tcBorders>
              <w:top w:val="single" w:sz="4" w:space="0" w:color="auto"/>
              <w:left w:val="single" w:sz="4" w:space="0" w:color="auto"/>
              <w:bottom w:val="single" w:sz="4" w:space="0" w:color="auto"/>
              <w:right w:val="single" w:sz="4" w:space="0" w:color="auto"/>
            </w:tcBorders>
            <w:shd w:val="clear" w:color="auto" w:fill="FFFFFF" w:themeFill="background1"/>
          </w:tcPr>
          <w:p w:rsidR="000B5B92" w:rsidRPr="001C7B45" w:rsidRDefault="000B5B92" w:rsidP="000B5B92">
            <w:pPr>
              <w:spacing w:after="0" w:line="240" w:lineRule="auto"/>
              <w:jc w:val="both"/>
              <w:rPr>
                <w:rFonts w:ascii="Times New Roman" w:hAnsi="Times New Roman" w:cs="Times New Roman"/>
              </w:rPr>
            </w:pPr>
            <w:r w:rsidRPr="001C7B45">
              <w:rPr>
                <w:rFonts w:ascii="Times New Roman" w:hAnsi="Times New Roman" w:cs="Times New Roman"/>
              </w:rPr>
              <w:t>Привязь, предназначенная для использования в страховочных и удерживающих системах обеспечения безопасности пользователя от падения с высоты, системах позиционирования в рабочем положении.</w:t>
            </w:r>
          </w:p>
          <w:p w:rsidR="000B5B92" w:rsidRPr="001C7B45" w:rsidRDefault="000B5B92" w:rsidP="000B5B92">
            <w:pPr>
              <w:spacing w:after="0" w:line="240" w:lineRule="auto"/>
              <w:jc w:val="both"/>
              <w:rPr>
                <w:rFonts w:ascii="Times New Roman" w:hAnsi="Times New Roman" w:cs="Times New Roman"/>
              </w:rPr>
            </w:pPr>
            <w:r w:rsidRPr="001C7B45">
              <w:rPr>
                <w:rFonts w:ascii="Times New Roman" w:hAnsi="Times New Roman" w:cs="Times New Roman"/>
              </w:rPr>
              <w:t>Пояс, входящий в состав привязи, имеет кушак из пеноматериала, покрытый синтетической тканью. Форма кушака имеет геометрически сложную форму для поддержки поясницы при позиционировании в рабочем положении. Максимальная ширина кушака – до 170 мм. На кушаке присутствуют фиксированные петли для развески используемого снаряжения, инструмента. Петли выполнены из полиамидного шнура диаметром 6 мм пришиты к несущей ленте пояса.  Обхват кушака регулируется самофиксирующейся разъемной пряжкой.</w:t>
            </w:r>
          </w:p>
          <w:p w:rsidR="000B5B92" w:rsidRPr="001C7B45" w:rsidRDefault="000B5B92" w:rsidP="000B5B92">
            <w:pPr>
              <w:spacing w:after="0" w:line="240" w:lineRule="auto"/>
              <w:jc w:val="both"/>
              <w:rPr>
                <w:rFonts w:ascii="Times New Roman" w:hAnsi="Times New Roman" w:cs="Times New Roman"/>
              </w:rPr>
            </w:pPr>
            <w:r w:rsidRPr="001C7B45">
              <w:rPr>
                <w:rFonts w:ascii="Times New Roman" w:hAnsi="Times New Roman" w:cs="Times New Roman"/>
              </w:rPr>
              <w:t>Две точки крепления на поясе для позиционирования изготовлены из стали, имеют цинковое антикоррозийное покрытие. Ножные и плечевые лямки привязи изготовлены из лент разных цветов для правильного одевания привязи пользователем. Блокируемая грудная точка обеспечивает правильное положение тела человека после остановки падения.  Грудная точка имеет ассиметричную конструкцию, исключающую необходимость использования карабина для блокировки точек А/2: с</w:t>
            </w:r>
            <w:r w:rsidR="00A92D02">
              <w:rPr>
                <w:rFonts w:ascii="Times New Roman" w:hAnsi="Times New Roman" w:cs="Times New Roman"/>
              </w:rPr>
              <w:t xml:space="preserve"> </w:t>
            </w:r>
            <w:r w:rsidRPr="001C7B45">
              <w:rPr>
                <w:rFonts w:ascii="Times New Roman" w:hAnsi="Times New Roman" w:cs="Times New Roman"/>
              </w:rPr>
              <w:t>одной стороны находится фиксированное кольцо, с другой – текстильный элемент с пряжкой. Блокировка точки происходит путем протягивания текстильного элемента через металлическое кольцо и фиксацией в ответной части пряжки. Страховочная точка на спине, предназначенная для подсоединения к соединительно-амортизирующей подсистеме, имеет удлинитель спинной точки для более удобного использования пользователем. Присутствует возможность регулировки и фиксации высоты спинной точки. Регулировка высоты страховочной точки на спине осуществляется с помощью стальной регулировочной пряжки. Регулировка плечевых лямок осуществляется с помощью одной стальной разъемной пряжки.  Регулировка ножных обхватов производится самофиксирующимися разъемными пряжками. Все металлические элементы выполнены из стали, имеющей антикоррозийное цинковое покрытие.</w:t>
            </w:r>
          </w:p>
          <w:p w:rsidR="000B5B92" w:rsidRPr="001C7B45" w:rsidRDefault="000B5B92" w:rsidP="000B5B92">
            <w:pPr>
              <w:spacing w:after="0" w:line="240" w:lineRule="auto"/>
              <w:jc w:val="both"/>
              <w:rPr>
                <w:rFonts w:ascii="Times New Roman" w:hAnsi="Times New Roman" w:cs="Times New Roman"/>
              </w:rPr>
            </w:pPr>
            <w:r w:rsidRPr="001C7B45">
              <w:rPr>
                <w:rFonts w:ascii="Times New Roman" w:hAnsi="Times New Roman" w:cs="Times New Roman"/>
              </w:rPr>
              <w:t xml:space="preserve">Каждая привязь имеет идентификационные бирки в защитном чехле. На бирках указана следующая информация об изделии: производитель / артикул / название модели / размер / соответствие нормам технического регулирования / ТУ производителя / месяц и год производства / первичная информация по уходу / таблица проведенных периодических инспекций / поле для указания ФИО пользователя. Привязь поставляется в тканевом мешке, предназначенном для хранения и транспортировки. С привязью поставляется инструкция, имеющая графические изображения, касающиеся вопросов использования привязей. Периодические проверки привязи осуществляются компетентным лицом не реже одного раза в 12 месяцев в соответствии с инструкцией производителя. Изготавливается в размерах 1 или 2 </w:t>
            </w:r>
          </w:p>
          <w:p w:rsidR="000B5B92" w:rsidRDefault="000B5B92" w:rsidP="000B5B92">
            <w:pPr>
              <w:spacing w:after="0" w:line="240" w:lineRule="auto"/>
              <w:jc w:val="both"/>
              <w:rPr>
                <w:rFonts w:ascii="Times New Roman" w:hAnsi="Times New Roman" w:cs="Times New Roman"/>
              </w:rPr>
            </w:pPr>
            <w:r w:rsidRPr="001C7B45">
              <w:rPr>
                <w:rFonts w:ascii="Times New Roman" w:hAnsi="Times New Roman" w:cs="Times New Roman"/>
              </w:rPr>
              <w:t>Изготовлено на территории Российской Федерации. Срок годности изделия – 10 лет. Гарантийный срок – 3 года.</w:t>
            </w:r>
          </w:p>
          <w:p w:rsidR="000B5B92" w:rsidRPr="00260BF7" w:rsidRDefault="000B5B92" w:rsidP="000B5B92">
            <w:pPr>
              <w:spacing w:after="0" w:line="240" w:lineRule="auto"/>
              <w:jc w:val="both"/>
              <w:rPr>
                <w:rFonts w:ascii="Times New Roman" w:hAnsi="Times New Roman" w:cs="Times New Roman"/>
              </w:rPr>
            </w:pPr>
            <w:r w:rsidRPr="001C7B45">
              <w:rPr>
                <w:rFonts w:ascii="Times New Roman" w:hAnsi="Times New Roman" w:cs="Times New Roman"/>
              </w:rPr>
              <w:t>ТР ТС 019/2011</w:t>
            </w:r>
            <w:r>
              <w:rPr>
                <w:rFonts w:ascii="Times New Roman" w:hAnsi="Times New Roman" w:cs="Times New Roman"/>
              </w:rPr>
              <w:t>.</w:t>
            </w:r>
          </w:p>
        </w:tc>
      </w:tr>
      <w:tr w:rsidR="009F6B66" w:rsidRPr="0073652A" w:rsidTr="00AD6C2F">
        <w:trPr>
          <w:trHeight w:val="855"/>
        </w:trPr>
        <w:tc>
          <w:tcPr>
            <w:tcW w:w="2660" w:type="dxa"/>
            <w:tcBorders>
              <w:top w:val="single" w:sz="4" w:space="0" w:color="auto"/>
              <w:left w:val="single" w:sz="4" w:space="0" w:color="auto"/>
              <w:bottom w:val="single" w:sz="4" w:space="0" w:color="auto"/>
              <w:right w:val="single" w:sz="4" w:space="0" w:color="auto"/>
            </w:tcBorders>
            <w:shd w:val="clear" w:color="auto" w:fill="FFFFFF" w:themeFill="background1"/>
          </w:tcPr>
          <w:p w:rsidR="009F6B66" w:rsidRDefault="009F6B66" w:rsidP="000B5B92">
            <w:pPr>
              <w:spacing w:after="0"/>
              <w:rPr>
                <w:rFonts w:ascii="Times New Roman" w:hAnsi="Times New Roman" w:cs="Times New Roman"/>
                <w:b/>
              </w:rPr>
            </w:pPr>
            <w:r w:rsidRPr="009F6B66">
              <w:rPr>
                <w:rFonts w:ascii="Times New Roman" w:hAnsi="Times New Roman" w:cs="Times New Roman"/>
                <w:b/>
              </w:rPr>
              <w:lastRenderedPageBreak/>
              <w:t>Привязь страховочная огнеупорная</w:t>
            </w:r>
          </w:p>
          <w:p w:rsidR="009F6B66" w:rsidRDefault="004F1596" w:rsidP="000B5B92">
            <w:pPr>
              <w:spacing w:after="0"/>
              <w:rPr>
                <w:rFonts w:ascii="Times New Roman" w:hAnsi="Times New Roman" w:cs="Times New Roman"/>
                <w:b/>
              </w:rPr>
            </w:pPr>
            <w:r>
              <w:rPr>
                <w:rFonts w:ascii="Times New Roman" w:hAnsi="Times New Roman" w:cs="Times New Roman"/>
                <w:b/>
              </w:rPr>
              <w:t>(размер 2)</w:t>
            </w:r>
          </w:p>
          <w:p w:rsidR="009F6B66" w:rsidRDefault="00EC2CBA" w:rsidP="000B5B92">
            <w:pPr>
              <w:spacing w:after="0"/>
              <w:rPr>
                <w:rFonts w:ascii="Times New Roman" w:hAnsi="Times New Roman" w:cs="Times New Roman"/>
                <w:b/>
              </w:rPr>
            </w:pPr>
            <w:r>
              <w:rPr>
                <w:rFonts w:ascii="Times New Roman" w:hAnsi="Times New Roman" w:cs="Times New Roman"/>
                <w:b/>
              </w:rPr>
              <w:t>20</w:t>
            </w:r>
            <w:r w:rsidR="009F6B66">
              <w:rPr>
                <w:rFonts w:ascii="Times New Roman" w:hAnsi="Times New Roman" w:cs="Times New Roman"/>
                <w:b/>
              </w:rPr>
              <w:t xml:space="preserve"> шт.</w:t>
            </w:r>
          </w:p>
          <w:p w:rsidR="009F6B66" w:rsidRPr="001C7B45" w:rsidRDefault="009F6B66" w:rsidP="00F368F1">
            <w:pPr>
              <w:spacing w:after="0"/>
              <w:rPr>
                <w:rFonts w:ascii="Times New Roman" w:hAnsi="Times New Roman" w:cs="Times New Roman"/>
                <w:b/>
              </w:rPr>
            </w:pPr>
          </w:p>
        </w:tc>
        <w:tc>
          <w:tcPr>
            <w:tcW w:w="11765" w:type="dxa"/>
            <w:tcBorders>
              <w:top w:val="single" w:sz="4" w:space="0" w:color="auto"/>
              <w:left w:val="single" w:sz="4" w:space="0" w:color="auto"/>
              <w:bottom w:val="single" w:sz="4" w:space="0" w:color="auto"/>
              <w:right w:val="single" w:sz="4" w:space="0" w:color="auto"/>
            </w:tcBorders>
            <w:shd w:val="clear" w:color="auto" w:fill="FFFFFF" w:themeFill="background1"/>
          </w:tcPr>
          <w:p w:rsidR="009F6B66" w:rsidRPr="009F6B66" w:rsidRDefault="009F6B66" w:rsidP="009F6B66">
            <w:pPr>
              <w:spacing w:after="0" w:line="240" w:lineRule="auto"/>
              <w:jc w:val="both"/>
              <w:rPr>
                <w:rFonts w:ascii="Times New Roman" w:hAnsi="Times New Roman" w:cs="Times New Roman"/>
              </w:rPr>
            </w:pPr>
            <w:r w:rsidRPr="009F6B66">
              <w:rPr>
                <w:rFonts w:ascii="Times New Roman" w:hAnsi="Times New Roman" w:cs="Times New Roman"/>
              </w:rPr>
              <w:t>Привязь, выполненная из термостойких материалов (ленты, нитей, ткани), предназначена для использования в страховочных и удерживающих системах обеспечения безопасности пользователя от падения с высоты, системах позиционирования в рабочем положении</w:t>
            </w:r>
            <w:bookmarkStart w:id="0" w:name="_GoBack"/>
            <w:bookmarkEnd w:id="0"/>
            <w:r w:rsidRPr="009F6B66">
              <w:rPr>
                <w:rFonts w:ascii="Times New Roman" w:hAnsi="Times New Roman" w:cs="Times New Roman"/>
              </w:rPr>
              <w:t xml:space="preserve"> при выполнении работ в непосредственной близости от искр и брызг расплавленного металла, огня. Пояс, входящий в состав привязи, имеет кушак геометрически сложной формы для поддержки поясницы при позиционировании в рабочем положении. Максимальная ширина кушака – до 170 мм.</w:t>
            </w:r>
          </w:p>
          <w:p w:rsidR="009F6B66" w:rsidRPr="009F6B66" w:rsidRDefault="009F6B66" w:rsidP="009F6B66">
            <w:pPr>
              <w:spacing w:after="0" w:line="240" w:lineRule="auto"/>
              <w:jc w:val="both"/>
              <w:rPr>
                <w:rFonts w:ascii="Times New Roman" w:hAnsi="Times New Roman" w:cs="Times New Roman"/>
              </w:rPr>
            </w:pPr>
            <w:r w:rsidRPr="009F6B66">
              <w:rPr>
                <w:rFonts w:ascii="Times New Roman" w:hAnsi="Times New Roman" w:cs="Times New Roman"/>
              </w:rPr>
              <w:t>Обхват кушака регулируется самофокусирующейся разъемной пряжкой.</w:t>
            </w:r>
          </w:p>
          <w:p w:rsidR="009F6B66" w:rsidRPr="009F6B66" w:rsidRDefault="009F6B66" w:rsidP="009F6B66">
            <w:pPr>
              <w:spacing w:after="0" w:line="240" w:lineRule="auto"/>
              <w:jc w:val="both"/>
              <w:rPr>
                <w:rFonts w:ascii="Times New Roman" w:hAnsi="Times New Roman" w:cs="Times New Roman"/>
              </w:rPr>
            </w:pPr>
            <w:r w:rsidRPr="009F6B66">
              <w:rPr>
                <w:rFonts w:ascii="Times New Roman" w:hAnsi="Times New Roman" w:cs="Times New Roman"/>
              </w:rPr>
              <w:t>Две точки крепления на поясе для позиционирования из стали.</w:t>
            </w:r>
          </w:p>
          <w:p w:rsidR="009F6B66" w:rsidRPr="009F6B66" w:rsidRDefault="009F6B66" w:rsidP="009F6B66">
            <w:pPr>
              <w:spacing w:after="0" w:line="240" w:lineRule="auto"/>
              <w:jc w:val="both"/>
              <w:rPr>
                <w:rFonts w:ascii="Times New Roman" w:hAnsi="Times New Roman" w:cs="Times New Roman"/>
              </w:rPr>
            </w:pPr>
            <w:r w:rsidRPr="009F6B66">
              <w:rPr>
                <w:rFonts w:ascii="Times New Roman" w:hAnsi="Times New Roman" w:cs="Times New Roman"/>
              </w:rPr>
              <w:t>Блокируемая грудная точка обеспечивает правильное положение тела человека после остановки падения.  Грудная точка имеет ассиметричную конструкцию, исключающую необходимость использования карабина для блокировки точек А/2: с одной стороны, находится фиксированное кольцо, с другой – текстильный элемент с пряжкой. Блокировка точки происходит путем протягивания текстильного элемента через металлическое кольцо и фиксацией в ответной части пряжки.</w:t>
            </w:r>
          </w:p>
          <w:p w:rsidR="009F6B66" w:rsidRPr="009F6B66" w:rsidRDefault="009F6B66" w:rsidP="009F6B66">
            <w:pPr>
              <w:spacing w:after="0" w:line="240" w:lineRule="auto"/>
              <w:jc w:val="both"/>
              <w:rPr>
                <w:rFonts w:ascii="Times New Roman" w:hAnsi="Times New Roman" w:cs="Times New Roman"/>
              </w:rPr>
            </w:pPr>
            <w:r w:rsidRPr="009F6B66">
              <w:rPr>
                <w:rFonts w:ascii="Times New Roman" w:hAnsi="Times New Roman" w:cs="Times New Roman"/>
              </w:rPr>
              <w:t>Страховочная точка на спине, предназначенная для подсоединения к соединительно-амортизирующей подсистеме, имеет удлинитель спинной точки для более удобного использования пользователем.</w:t>
            </w:r>
          </w:p>
          <w:p w:rsidR="009F6B66" w:rsidRPr="009F6B66" w:rsidRDefault="009F6B66" w:rsidP="009F6B66">
            <w:pPr>
              <w:spacing w:after="0" w:line="240" w:lineRule="auto"/>
              <w:jc w:val="both"/>
              <w:rPr>
                <w:rFonts w:ascii="Times New Roman" w:hAnsi="Times New Roman" w:cs="Times New Roman"/>
              </w:rPr>
            </w:pPr>
            <w:r w:rsidRPr="009F6B66">
              <w:rPr>
                <w:rFonts w:ascii="Times New Roman" w:hAnsi="Times New Roman" w:cs="Times New Roman"/>
              </w:rPr>
              <w:t>Регулировка высоты страховочной точки на спине осуществляется с помощью стальной регулировочной пряжки.</w:t>
            </w:r>
          </w:p>
          <w:p w:rsidR="009F6B66" w:rsidRPr="009F6B66" w:rsidRDefault="009F6B66" w:rsidP="009F6B66">
            <w:pPr>
              <w:spacing w:after="0" w:line="240" w:lineRule="auto"/>
              <w:jc w:val="both"/>
              <w:rPr>
                <w:rFonts w:ascii="Times New Roman" w:hAnsi="Times New Roman" w:cs="Times New Roman"/>
              </w:rPr>
            </w:pPr>
            <w:r w:rsidRPr="009F6B66">
              <w:rPr>
                <w:rFonts w:ascii="Times New Roman" w:hAnsi="Times New Roman" w:cs="Times New Roman"/>
              </w:rPr>
              <w:t xml:space="preserve">Регулировка плечевых лямок осуществляется с помощью одной стальной пряжки. </w:t>
            </w:r>
          </w:p>
          <w:p w:rsidR="009F6B66" w:rsidRPr="009F6B66" w:rsidRDefault="009F6B66" w:rsidP="009F6B66">
            <w:pPr>
              <w:spacing w:after="0" w:line="240" w:lineRule="auto"/>
              <w:jc w:val="both"/>
              <w:rPr>
                <w:rFonts w:ascii="Times New Roman" w:hAnsi="Times New Roman" w:cs="Times New Roman"/>
              </w:rPr>
            </w:pPr>
            <w:r w:rsidRPr="009F6B66">
              <w:rPr>
                <w:rFonts w:ascii="Times New Roman" w:hAnsi="Times New Roman" w:cs="Times New Roman"/>
              </w:rPr>
              <w:t>Регулировка ножных обхватов производится самофокусирующимися разъемными пряжками.</w:t>
            </w:r>
          </w:p>
          <w:p w:rsidR="009F6B66" w:rsidRPr="009F6B66" w:rsidRDefault="009F6B66" w:rsidP="009F6B66">
            <w:pPr>
              <w:spacing w:after="0" w:line="240" w:lineRule="auto"/>
              <w:jc w:val="both"/>
              <w:rPr>
                <w:rFonts w:ascii="Times New Roman" w:hAnsi="Times New Roman" w:cs="Times New Roman"/>
              </w:rPr>
            </w:pPr>
            <w:r w:rsidRPr="009F6B66">
              <w:rPr>
                <w:rFonts w:ascii="Times New Roman" w:hAnsi="Times New Roman" w:cs="Times New Roman"/>
              </w:rPr>
              <w:t>Все металлические элементы выполнены из стали, имеющей антикоррозийное цинковое покрытие.</w:t>
            </w:r>
          </w:p>
          <w:p w:rsidR="009F6B66" w:rsidRPr="009F6B66" w:rsidRDefault="009F6B66" w:rsidP="009F6B66">
            <w:pPr>
              <w:spacing w:after="0" w:line="240" w:lineRule="auto"/>
              <w:jc w:val="both"/>
              <w:rPr>
                <w:rFonts w:ascii="Times New Roman" w:hAnsi="Times New Roman" w:cs="Times New Roman"/>
              </w:rPr>
            </w:pPr>
            <w:r w:rsidRPr="009F6B66">
              <w:rPr>
                <w:rFonts w:ascii="Times New Roman" w:hAnsi="Times New Roman" w:cs="Times New Roman"/>
              </w:rPr>
              <w:t>На привязи имеются разрывные индикаторы срыва.</w:t>
            </w:r>
          </w:p>
          <w:p w:rsidR="009F6B66" w:rsidRPr="009F6B66" w:rsidRDefault="009F6B66" w:rsidP="009F6B66">
            <w:pPr>
              <w:spacing w:after="0" w:line="240" w:lineRule="auto"/>
              <w:jc w:val="both"/>
              <w:rPr>
                <w:rFonts w:ascii="Times New Roman" w:hAnsi="Times New Roman" w:cs="Times New Roman"/>
              </w:rPr>
            </w:pPr>
            <w:r w:rsidRPr="009F6B66">
              <w:rPr>
                <w:rFonts w:ascii="Times New Roman" w:hAnsi="Times New Roman" w:cs="Times New Roman"/>
              </w:rPr>
              <w:t>Каждая привязь имеет идентификационные бирки в защитном чехле. На бирках указана следующая информация об изделии: производитель / артикул / название модели / размер / соответствие нормам технического регулирования / ТУ производителя / месяц и год производства / первичная информация по уходу / таблица проведенных периодических инспекций / поле для указания ФИО пользователя. Привязь поставляется в тканевом мешке, предназначенном для хранения и транспортировки. Периодические проверки привязи осуществляются компетентным лицом не реже одного раза в 6 месяцев в соответствии с инструкцией производителя. Изготавливается в размерах 1 или 2</w:t>
            </w:r>
          </w:p>
          <w:p w:rsidR="009F6B66" w:rsidRDefault="009F6B66" w:rsidP="009F6B66">
            <w:pPr>
              <w:spacing w:after="0" w:line="240" w:lineRule="auto"/>
              <w:jc w:val="both"/>
              <w:rPr>
                <w:rFonts w:ascii="Times New Roman" w:hAnsi="Times New Roman" w:cs="Times New Roman"/>
              </w:rPr>
            </w:pPr>
            <w:r w:rsidRPr="009F6B66">
              <w:rPr>
                <w:rFonts w:ascii="Times New Roman" w:hAnsi="Times New Roman" w:cs="Times New Roman"/>
              </w:rPr>
              <w:t>Изготовлено на территории Российской Федерации. Имеется протокол российской лаборатории, подтверждающий огнеупорные свойства изделия.</w:t>
            </w:r>
          </w:p>
          <w:p w:rsidR="00077F0E" w:rsidRPr="001C7B45" w:rsidRDefault="00077F0E" w:rsidP="009F6B66">
            <w:pPr>
              <w:spacing w:after="0" w:line="240" w:lineRule="auto"/>
              <w:jc w:val="both"/>
              <w:rPr>
                <w:rFonts w:ascii="Times New Roman" w:hAnsi="Times New Roman" w:cs="Times New Roman"/>
              </w:rPr>
            </w:pPr>
            <w:r w:rsidRPr="00077F0E">
              <w:rPr>
                <w:rFonts w:ascii="Times New Roman" w:hAnsi="Times New Roman" w:cs="Times New Roman"/>
              </w:rPr>
              <w:t>ТР ТС 019/2011</w:t>
            </w:r>
          </w:p>
        </w:tc>
      </w:tr>
    </w:tbl>
    <w:tbl>
      <w:tblPr>
        <w:tblW w:w="14340" w:type="dxa"/>
        <w:tblInd w:w="93" w:type="dxa"/>
        <w:tblLook w:val="04A0" w:firstRow="1" w:lastRow="0" w:firstColumn="1" w:lastColumn="0" w:noHBand="0" w:noVBand="1"/>
      </w:tblPr>
      <w:tblGrid>
        <w:gridCol w:w="2320"/>
        <w:gridCol w:w="12020"/>
      </w:tblGrid>
      <w:tr w:rsidR="003D2DDA" w:rsidRPr="00494BA7" w:rsidTr="00494BA7">
        <w:trPr>
          <w:trHeight w:val="315"/>
        </w:trPr>
        <w:tc>
          <w:tcPr>
            <w:tcW w:w="2320" w:type="dxa"/>
            <w:tcBorders>
              <w:top w:val="nil"/>
              <w:left w:val="nil"/>
              <w:bottom w:val="nil"/>
              <w:right w:val="nil"/>
            </w:tcBorders>
            <w:shd w:val="clear" w:color="auto" w:fill="auto"/>
          </w:tcPr>
          <w:p w:rsidR="003D2DDA" w:rsidRPr="0073652A" w:rsidRDefault="003D2DDA" w:rsidP="003D4D15">
            <w:pPr>
              <w:rPr>
                <w:rFonts w:ascii="Times New Roman" w:eastAsia="Times New Roman" w:hAnsi="Times New Roman" w:cs="Times New Roman"/>
                <w:lang w:eastAsia="ru-RU"/>
              </w:rPr>
            </w:pPr>
          </w:p>
        </w:tc>
        <w:tc>
          <w:tcPr>
            <w:tcW w:w="12020" w:type="dxa"/>
            <w:tcBorders>
              <w:top w:val="nil"/>
              <w:left w:val="nil"/>
              <w:bottom w:val="nil"/>
              <w:right w:val="nil"/>
            </w:tcBorders>
            <w:shd w:val="clear" w:color="auto" w:fill="auto"/>
            <w:vAlign w:val="bottom"/>
          </w:tcPr>
          <w:p w:rsidR="003D2DDA" w:rsidRDefault="003D2DDA" w:rsidP="003D2DDA">
            <w:pPr>
              <w:spacing w:after="0" w:line="240" w:lineRule="auto"/>
              <w:rPr>
                <w:rFonts w:ascii="Times New Roman" w:eastAsia="Times New Roman" w:hAnsi="Times New Roman" w:cs="Times New Roman"/>
                <w:sz w:val="24"/>
                <w:szCs w:val="24"/>
                <w:lang w:eastAsia="ru-RU"/>
              </w:rPr>
            </w:pPr>
          </w:p>
        </w:tc>
      </w:tr>
      <w:tr w:rsidR="00EB0186" w:rsidRPr="00494BA7" w:rsidTr="00494BA7">
        <w:trPr>
          <w:trHeight w:val="315"/>
        </w:trPr>
        <w:tc>
          <w:tcPr>
            <w:tcW w:w="2320" w:type="dxa"/>
            <w:tcBorders>
              <w:top w:val="nil"/>
              <w:left w:val="nil"/>
              <w:bottom w:val="nil"/>
              <w:right w:val="nil"/>
            </w:tcBorders>
            <w:shd w:val="clear" w:color="auto" w:fill="auto"/>
          </w:tcPr>
          <w:p w:rsidR="00EB0186" w:rsidRPr="0073652A" w:rsidRDefault="00EB0186" w:rsidP="003D4D15">
            <w:pPr>
              <w:rPr>
                <w:rFonts w:ascii="Times New Roman" w:eastAsia="Times New Roman" w:hAnsi="Times New Roman" w:cs="Times New Roman"/>
                <w:lang w:eastAsia="ru-RU"/>
              </w:rPr>
            </w:pPr>
          </w:p>
        </w:tc>
        <w:tc>
          <w:tcPr>
            <w:tcW w:w="12020" w:type="dxa"/>
            <w:tcBorders>
              <w:top w:val="nil"/>
              <w:left w:val="nil"/>
              <w:bottom w:val="nil"/>
              <w:right w:val="nil"/>
            </w:tcBorders>
            <w:shd w:val="clear" w:color="auto" w:fill="auto"/>
            <w:vAlign w:val="bottom"/>
          </w:tcPr>
          <w:p w:rsidR="00EB0186" w:rsidRDefault="00EB0186" w:rsidP="003D2DDA">
            <w:pPr>
              <w:spacing w:after="0" w:line="240" w:lineRule="auto"/>
              <w:rPr>
                <w:rFonts w:ascii="Times New Roman" w:eastAsia="Times New Roman" w:hAnsi="Times New Roman" w:cs="Times New Roman"/>
                <w:sz w:val="24"/>
                <w:szCs w:val="24"/>
                <w:lang w:eastAsia="ru-RU"/>
              </w:rPr>
            </w:pPr>
          </w:p>
        </w:tc>
      </w:tr>
    </w:tbl>
    <w:p w:rsidR="006E6467" w:rsidRDefault="006E6467" w:rsidP="00CF26A8"/>
    <w:sectPr w:rsidR="006E6467" w:rsidSect="00156A07">
      <w:headerReference w:type="even" r:id="rId7"/>
      <w:headerReference w:type="default" r:id="rId8"/>
      <w:footerReference w:type="even" r:id="rId9"/>
      <w:footerReference w:type="default" r:id="rId10"/>
      <w:headerReference w:type="first" r:id="rId11"/>
      <w:footerReference w:type="first" r:id="rId12"/>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AF8" w:rsidRDefault="00B72AF8" w:rsidP="00EF1E11">
      <w:pPr>
        <w:spacing w:after="0" w:line="240" w:lineRule="auto"/>
      </w:pPr>
      <w:r>
        <w:separator/>
      </w:r>
    </w:p>
  </w:endnote>
  <w:endnote w:type="continuationSeparator" w:id="0">
    <w:p w:rsidR="00B72AF8" w:rsidRDefault="00B72AF8" w:rsidP="00EF1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BC4" w:rsidRDefault="00C34BC4">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4239252"/>
      <w:docPartObj>
        <w:docPartGallery w:val="Page Numbers (Bottom of Page)"/>
        <w:docPartUnique/>
      </w:docPartObj>
    </w:sdtPr>
    <w:sdtEndPr/>
    <w:sdtContent>
      <w:p w:rsidR="007540B1" w:rsidRDefault="007540B1">
        <w:pPr>
          <w:pStyle w:val="a9"/>
          <w:jc w:val="right"/>
        </w:pPr>
        <w:r>
          <w:fldChar w:fldCharType="begin"/>
        </w:r>
        <w:r>
          <w:instrText>PAGE   \* MERGEFORMAT</w:instrText>
        </w:r>
        <w:r>
          <w:fldChar w:fldCharType="separate"/>
        </w:r>
        <w:r w:rsidR="004F1596">
          <w:rPr>
            <w:noProof/>
          </w:rPr>
          <w:t>1</w:t>
        </w:r>
        <w:r>
          <w:fldChar w:fldCharType="end"/>
        </w:r>
      </w:p>
    </w:sdtContent>
  </w:sdt>
  <w:p w:rsidR="007540B1" w:rsidRDefault="007540B1">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BC4" w:rsidRDefault="00C34BC4">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AF8" w:rsidRDefault="00B72AF8" w:rsidP="00EF1E11">
      <w:pPr>
        <w:spacing w:after="0" w:line="240" w:lineRule="auto"/>
      </w:pPr>
      <w:r>
        <w:separator/>
      </w:r>
    </w:p>
  </w:footnote>
  <w:footnote w:type="continuationSeparator" w:id="0">
    <w:p w:rsidR="00B72AF8" w:rsidRDefault="00B72AF8" w:rsidP="00EF1E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BC4" w:rsidRDefault="00C34BC4">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BC4" w:rsidRDefault="00C34BC4">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BC4" w:rsidRDefault="00C34BC4">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5130F2"/>
    <w:multiLevelType w:val="multilevel"/>
    <w:tmpl w:val="D3168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0C2F58"/>
    <w:multiLevelType w:val="multilevel"/>
    <w:tmpl w:val="FF4EF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187"/>
    <w:rsid w:val="00002845"/>
    <w:rsid w:val="000049EF"/>
    <w:rsid w:val="00005A4B"/>
    <w:rsid w:val="00023C78"/>
    <w:rsid w:val="0002542A"/>
    <w:rsid w:val="000260AE"/>
    <w:rsid w:val="00040C06"/>
    <w:rsid w:val="00042334"/>
    <w:rsid w:val="00047364"/>
    <w:rsid w:val="00072261"/>
    <w:rsid w:val="00077F0E"/>
    <w:rsid w:val="0009232C"/>
    <w:rsid w:val="000A4122"/>
    <w:rsid w:val="000B0119"/>
    <w:rsid w:val="000B5B92"/>
    <w:rsid w:val="000C223F"/>
    <w:rsid w:val="000D26E6"/>
    <w:rsid w:val="000E0B07"/>
    <w:rsid w:val="00106AE8"/>
    <w:rsid w:val="00113413"/>
    <w:rsid w:val="00115680"/>
    <w:rsid w:val="00127639"/>
    <w:rsid w:val="001462A3"/>
    <w:rsid w:val="00156A07"/>
    <w:rsid w:val="00181A12"/>
    <w:rsid w:val="001A255A"/>
    <w:rsid w:val="001B06C7"/>
    <w:rsid w:val="001B114F"/>
    <w:rsid w:val="001B5FE1"/>
    <w:rsid w:val="001B65CD"/>
    <w:rsid w:val="001B7A05"/>
    <w:rsid w:val="001C7B45"/>
    <w:rsid w:val="001D5552"/>
    <w:rsid w:val="001F01F2"/>
    <w:rsid w:val="001F5AEC"/>
    <w:rsid w:val="002053CF"/>
    <w:rsid w:val="002239B6"/>
    <w:rsid w:val="002268DF"/>
    <w:rsid w:val="0024192D"/>
    <w:rsid w:val="00241D2E"/>
    <w:rsid w:val="002516E6"/>
    <w:rsid w:val="00260BF7"/>
    <w:rsid w:val="00266035"/>
    <w:rsid w:val="00272D49"/>
    <w:rsid w:val="00275274"/>
    <w:rsid w:val="00284054"/>
    <w:rsid w:val="002978B9"/>
    <w:rsid w:val="002B3C0A"/>
    <w:rsid w:val="002C1FC7"/>
    <w:rsid w:val="002D13B3"/>
    <w:rsid w:val="002D2478"/>
    <w:rsid w:val="003016C3"/>
    <w:rsid w:val="00306004"/>
    <w:rsid w:val="00310A35"/>
    <w:rsid w:val="00316889"/>
    <w:rsid w:val="003176A2"/>
    <w:rsid w:val="00321B70"/>
    <w:rsid w:val="00333D4D"/>
    <w:rsid w:val="00336465"/>
    <w:rsid w:val="00370B62"/>
    <w:rsid w:val="003754C9"/>
    <w:rsid w:val="003909B7"/>
    <w:rsid w:val="00394672"/>
    <w:rsid w:val="00395AE8"/>
    <w:rsid w:val="00397A29"/>
    <w:rsid w:val="003A2572"/>
    <w:rsid w:val="003A5876"/>
    <w:rsid w:val="003B0B09"/>
    <w:rsid w:val="003B4D5C"/>
    <w:rsid w:val="003C2C10"/>
    <w:rsid w:val="003C544E"/>
    <w:rsid w:val="003D2DDA"/>
    <w:rsid w:val="003D4D15"/>
    <w:rsid w:val="003F796A"/>
    <w:rsid w:val="00414DF5"/>
    <w:rsid w:val="0041763C"/>
    <w:rsid w:val="00443165"/>
    <w:rsid w:val="004438E9"/>
    <w:rsid w:val="00450174"/>
    <w:rsid w:val="00461FEF"/>
    <w:rsid w:val="00476735"/>
    <w:rsid w:val="004772BB"/>
    <w:rsid w:val="00487D87"/>
    <w:rsid w:val="00494BA7"/>
    <w:rsid w:val="004B5197"/>
    <w:rsid w:val="004C7B72"/>
    <w:rsid w:val="004D45C3"/>
    <w:rsid w:val="004F1596"/>
    <w:rsid w:val="004F21F9"/>
    <w:rsid w:val="004F764F"/>
    <w:rsid w:val="00516092"/>
    <w:rsid w:val="005318B8"/>
    <w:rsid w:val="00551500"/>
    <w:rsid w:val="00554721"/>
    <w:rsid w:val="005600D1"/>
    <w:rsid w:val="00565601"/>
    <w:rsid w:val="00565E70"/>
    <w:rsid w:val="00571DB7"/>
    <w:rsid w:val="005846E1"/>
    <w:rsid w:val="00593539"/>
    <w:rsid w:val="005A0FC5"/>
    <w:rsid w:val="005A5535"/>
    <w:rsid w:val="005A5A03"/>
    <w:rsid w:val="005D4EE7"/>
    <w:rsid w:val="005E101A"/>
    <w:rsid w:val="005F1ED0"/>
    <w:rsid w:val="006007AD"/>
    <w:rsid w:val="00615AD6"/>
    <w:rsid w:val="00632DFC"/>
    <w:rsid w:val="00635390"/>
    <w:rsid w:val="00641CD9"/>
    <w:rsid w:val="006477F7"/>
    <w:rsid w:val="00650CA5"/>
    <w:rsid w:val="00653EA6"/>
    <w:rsid w:val="006567FA"/>
    <w:rsid w:val="0067752C"/>
    <w:rsid w:val="00691E4D"/>
    <w:rsid w:val="00691F89"/>
    <w:rsid w:val="00692B0C"/>
    <w:rsid w:val="006A3EDE"/>
    <w:rsid w:val="006A4482"/>
    <w:rsid w:val="006B0EEE"/>
    <w:rsid w:val="006B3412"/>
    <w:rsid w:val="006C0BAD"/>
    <w:rsid w:val="006D600D"/>
    <w:rsid w:val="006E6467"/>
    <w:rsid w:val="006E6A9A"/>
    <w:rsid w:val="006F7326"/>
    <w:rsid w:val="00701FF1"/>
    <w:rsid w:val="007049AE"/>
    <w:rsid w:val="0071749B"/>
    <w:rsid w:val="00731978"/>
    <w:rsid w:val="00733E33"/>
    <w:rsid w:val="0073652A"/>
    <w:rsid w:val="00736920"/>
    <w:rsid w:val="00745028"/>
    <w:rsid w:val="007540B1"/>
    <w:rsid w:val="00755A28"/>
    <w:rsid w:val="00776B67"/>
    <w:rsid w:val="00780E38"/>
    <w:rsid w:val="00787DF1"/>
    <w:rsid w:val="00795102"/>
    <w:rsid w:val="007B0CAC"/>
    <w:rsid w:val="007C205E"/>
    <w:rsid w:val="007C523B"/>
    <w:rsid w:val="007D5892"/>
    <w:rsid w:val="007F2658"/>
    <w:rsid w:val="00801716"/>
    <w:rsid w:val="008254CD"/>
    <w:rsid w:val="00832BEA"/>
    <w:rsid w:val="00847188"/>
    <w:rsid w:val="008475AB"/>
    <w:rsid w:val="008557F5"/>
    <w:rsid w:val="00861605"/>
    <w:rsid w:val="008633C6"/>
    <w:rsid w:val="00863AB8"/>
    <w:rsid w:val="00873829"/>
    <w:rsid w:val="008746BD"/>
    <w:rsid w:val="00880FF1"/>
    <w:rsid w:val="008837EF"/>
    <w:rsid w:val="00885B09"/>
    <w:rsid w:val="00893621"/>
    <w:rsid w:val="008945C8"/>
    <w:rsid w:val="00896ABE"/>
    <w:rsid w:val="008A14C6"/>
    <w:rsid w:val="008A661E"/>
    <w:rsid w:val="008E7236"/>
    <w:rsid w:val="008F0BB3"/>
    <w:rsid w:val="008F4BC2"/>
    <w:rsid w:val="00903CB3"/>
    <w:rsid w:val="00912AEC"/>
    <w:rsid w:val="00936D3E"/>
    <w:rsid w:val="009406AE"/>
    <w:rsid w:val="0094439F"/>
    <w:rsid w:val="009461E1"/>
    <w:rsid w:val="009464D2"/>
    <w:rsid w:val="00996691"/>
    <w:rsid w:val="009A4ED1"/>
    <w:rsid w:val="009A5CDA"/>
    <w:rsid w:val="009C7187"/>
    <w:rsid w:val="009E0721"/>
    <w:rsid w:val="009F6B66"/>
    <w:rsid w:val="00A0298A"/>
    <w:rsid w:val="00A10579"/>
    <w:rsid w:val="00A24C61"/>
    <w:rsid w:val="00A35B8A"/>
    <w:rsid w:val="00A41C84"/>
    <w:rsid w:val="00A426EF"/>
    <w:rsid w:val="00A44130"/>
    <w:rsid w:val="00A5689B"/>
    <w:rsid w:val="00A6101D"/>
    <w:rsid w:val="00A66486"/>
    <w:rsid w:val="00A67C98"/>
    <w:rsid w:val="00A700A0"/>
    <w:rsid w:val="00A70F04"/>
    <w:rsid w:val="00A7181D"/>
    <w:rsid w:val="00A768A1"/>
    <w:rsid w:val="00A776F3"/>
    <w:rsid w:val="00A92D02"/>
    <w:rsid w:val="00AA6423"/>
    <w:rsid w:val="00AA7D10"/>
    <w:rsid w:val="00AB3721"/>
    <w:rsid w:val="00AB6918"/>
    <w:rsid w:val="00AC0DED"/>
    <w:rsid w:val="00AC5B9A"/>
    <w:rsid w:val="00AC6025"/>
    <w:rsid w:val="00AD1ABF"/>
    <w:rsid w:val="00AD6C2F"/>
    <w:rsid w:val="00AD7619"/>
    <w:rsid w:val="00AE5ED8"/>
    <w:rsid w:val="00AF239F"/>
    <w:rsid w:val="00B202C6"/>
    <w:rsid w:val="00B40E90"/>
    <w:rsid w:val="00B45638"/>
    <w:rsid w:val="00B4635E"/>
    <w:rsid w:val="00B6152C"/>
    <w:rsid w:val="00B72AF8"/>
    <w:rsid w:val="00B910FB"/>
    <w:rsid w:val="00B97E25"/>
    <w:rsid w:val="00BA575A"/>
    <w:rsid w:val="00BA7CD3"/>
    <w:rsid w:val="00BB1FFC"/>
    <w:rsid w:val="00BC094B"/>
    <w:rsid w:val="00BD4E02"/>
    <w:rsid w:val="00BD562A"/>
    <w:rsid w:val="00BD68AC"/>
    <w:rsid w:val="00BD79C4"/>
    <w:rsid w:val="00BE7023"/>
    <w:rsid w:val="00BF161F"/>
    <w:rsid w:val="00C03370"/>
    <w:rsid w:val="00C1234D"/>
    <w:rsid w:val="00C16144"/>
    <w:rsid w:val="00C278A4"/>
    <w:rsid w:val="00C34BC4"/>
    <w:rsid w:val="00C56049"/>
    <w:rsid w:val="00C921C0"/>
    <w:rsid w:val="00CA0FB4"/>
    <w:rsid w:val="00CB4B52"/>
    <w:rsid w:val="00CB773C"/>
    <w:rsid w:val="00CE0DC8"/>
    <w:rsid w:val="00CF26A8"/>
    <w:rsid w:val="00D04BF3"/>
    <w:rsid w:val="00D11D02"/>
    <w:rsid w:val="00D201EE"/>
    <w:rsid w:val="00D611C8"/>
    <w:rsid w:val="00D66072"/>
    <w:rsid w:val="00D67E0A"/>
    <w:rsid w:val="00D76A5B"/>
    <w:rsid w:val="00D92102"/>
    <w:rsid w:val="00D93637"/>
    <w:rsid w:val="00D94617"/>
    <w:rsid w:val="00DA404D"/>
    <w:rsid w:val="00DA5C59"/>
    <w:rsid w:val="00DD707F"/>
    <w:rsid w:val="00DE3E86"/>
    <w:rsid w:val="00DF2BE4"/>
    <w:rsid w:val="00DF58C6"/>
    <w:rsid w:val="00E178EF"/>
    <w:rsid w:val="00E2773C"/>
    <w:rsid w:val="00E51B8E"/>
    <w:rsid w:val="00E60718"/>
    <w:rsid w:val="00E72153"/>
    <w:rsid w:val="00E7290B"/>
    <w:rsid w:val="00EA2D72"/>
    <w:rsid w:val="00EB0186"/>
    <w:rsid w:val="00EB03B5"/>
    <w:rsid w:val="00EC2CBA"/>
    <w:rsid w:val="00EC5E25"/>
    <w:rsid w:val="00EC7BBD"/>
    <w:rsid w:val="00EF1E11"/>
    <w:rsid w:val="00F019E8"/>
    <w:rsid w:val="00F17DE7"/>
    <w:rsid w:val="00F2033F"/>
    <w:rsid w:val="00F23926"/>
    <w:rsid w:val="00F368F1"/>
    <w:rsid w:val="00F6199D"/>
    <w:rsid w:val="00F637E1"/>
    <w:rsid w:val="00F76181"/>
    <w:rsid w:val="00F92CC2"/>
    <w:rsid w:val="00F973E4"/>
    <w:rsid w:val="00FB73B8"/>
    <w:rsid w:val="00FC5E4D"/>
    <w:rsid w:val="00FD38E0"/>
    <w:rsid w:val="00FD6C3E"/>
    <w:rsid w:val="00FF053C"/>
    <w:rsid w:val="00FF2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9D68D"/>
  <w15:docId w15:val="{1A15DD2A-3166-4D2E-BE7E-6302A6F3C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37E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37EF"/>
    <w:rPr>
      <w:rFonts w:ascii="Tahoma" w:hAnsi="Tahoma" w:cs="Tahoma"/>
      <w:sz w:val="16"/>
      <w:szCs w:val="16"/>
    </w:rPr>
  </w:style>
  <w:style w:type="character" w:styleId="a5">
    <w:name w:val="Strong"/>
    <w:basedOn w:val="a0"/>
    <w:uiPriority w:val="22"/>
    <w:qFormat/>
    <w:rsid w:val="00653EA6"/>
    <w:rPr>
      <w:b/>
      <w:bCs/>
    </w:rPr>
  </w:style>
  <w:style w:type="paragraph" w:styleId="a6">
    <w:name w:val="Normal (Web)"/>
    <w:basedOn w:val="a"/>
    <w:uiPriority w:val="99"/>
    <w:semiHidden/>
    <w:unhideWhenUsed/>
    <w:rsid w:val="00653EA6"/>
    <w:pPr>
      <w:spacing w:after="0" w:line="240" w:lineRule="atLeast"/>
    </w:pPr>
    <w:rPr>
      <w:rFonts w:ascii="Tahoma" w:eastAsia="Times New Roman" w:hAnsi="Tahoma" w:cs="Tahoma"/>
      <w:sz w:val="20"/>
      <w:szCs w:val="20"/>
      <w:lang w:eastAsia="ru-RU"/>
    </w:rPr>
  </w:style>
  <w:style w:type="paragraph" w:styleId="a7">
    <w:name w:val="header"/>
    <w:basedOn w:val="a"/>
    <w:link w:val="a8"/>
    <w:uiPriority w:val="99"/>
    <w:unhideWhenUsed/>
    <w:rsid w:val="00EF1E1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F1E11"/>
  </w:style>
  <w:style w:type="paragraph" w:styleId="a9">
    <w:name w:val="footer"/>
    <w:basedOn w:val="a"/>
    <w:link w:val="aa"/>
    <w:unhideWhenUsed/>
    <w:rsid w:val="00EF1E1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F1E11"/>
  </w:style>
  <w:style w:type="character" w:customStyle="1" w:styleId="ah-prodlist-cellleft1">
    <w:name w:val="ah-prodlist-cellleft1"/>
    <w:basedOn w:val="a0"/>
    <w:rsid w:val="009A5CDA"/>
    <w:rPr>
      <w:rFonts w:ascii="Arial" w:hAnsi="Arial" w:cs="Arial" w:hint="default"/>
      <w:b w:val="0"/>
      <w:bCs w:val="0"/>
      <w:color w:val="000000"/>
      <w:sz w:val="17"/>
      <w:szCs w:val="17"/>
    </w:rPr>
  </w:style>
  <w:style w:type="character" w:customStyle="1" w:styleId="ah-prodlist-cellright1">
    <w:name w:val="ah-prodlist-cellright1"/>
    <w:basedOn w:val="a0"/>
    <w:rsid w:val="009A5CDA"/>
    <w:rPr>
      <w:rFonts w:ascii="Arial" w:hAnsi="Arial" w:cs="Arial" w:hint="default"/>
      <w:b w:val="0"/>
      <w:bCs w:val="0"/>
      <w:color w:val="000000"/>
      <w:sz w:val="17"/>
      <w:szCs w:val="17"/>
    </w:rPr>
  </w:style>
  <w:style w:type="character" w:styleId="ab">
    <w:name w:val="Hyperlink"/>
    <w:basedOn w:val="a0"/>
    <w:uiPriority w:val="99"/>
    <w:semiHidden/>
    <w:unhideWhenUsed/>
    <w:rsid w:val="001B114F"/>
    <w:rPr>
      <w:strike w:val="0"/>
      <w:dstrike w:val="0"/>
      <w:color w:val="337AB7"/>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07896">
      <w:bodyDiv w:val="1"/>
      <w:marLeft w:val="0"/>
      <w:marRight w:val="0"/>
      <w:marTop w:val="0"/>
      <w:marBottom w:val="0"/>
      <w:divBdr>
        <w:top w:val="none" w:sz="0" w:space="0" w:color="auto"/>
        <w:left w:val="none" w:sz="0" w:space="0" w:color="auto"/>
        <w:bottom w:val="none" w:sz="0" w:space="0" w:color="auto"/>
        <w:right w:val="none" w:sz="0" w:space="0" w:color="auto"/>
      </w:divBdr>
    </w:div>
    <w:div w:id="226307836">
      <w:bodyDiv w:val="1"/>
      <w:marLeft w:val="0"/>
      <w:marRight w:val="0"/>
      <w:marTop w:val="0"/>
      <w:marBottom w:val="0"/>
      <w:divBdr>
        <w:top w:val="none" w:sz="0" w:space="0" w:color="auto"/>
        <w:left w:val="none" w:sz="0" w:space="0" w:color="auto"/>
        <w:bottom w:val="none" w:sz="0" w:space="0" w:color="auto"/>
        <w:right w:val="none" w:sz="0" w:space="0" w:color="auto"/>
      </w:divBdr>
      <w:divsChild>
        <w:div w:id="1297839086">
          <w:marLeft w:val="0"/>
          <w:marRight w:val="0"/>
          <w:marTop w:val="0"/>
          <w:marBottom w:val="0"/>
          <w:divBdr>
            <w:top w:val="none" w:sz="0" w:space="0" w:color="auto"/>
            <w:left w:val="none" w:sz="0" w:space="0" w:color="auto"/>
            <w:bottom w:val="none" w:sz="0" w:space="0" w:color="auto"/>
            <w:right w:val="none" w:sz="0" w:space="0" w:color="auto"/>
          </w:divBdr>
          <w:divsChild>
            <w:div w:id="47757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07288">
      <w:bodyDiv w:val="1"/>
      <w:marLeft w:val="0"/>
      <w:marRight w:val="0"/>
      <w:marTop w:val="0"/>
      <w:marBottom w:val="0"/>
      <w:divBdr>
        <w:top w:val="none" w:sz="0" w:space="0" w:color="auto"/>
        <w:left w:val="none" w:sz="0" w:space="0" w:color="auto"/>
        <w:bottom w:val="none" w:sz="0" w:space="0" w:color="auto"/>
        <w:right w:val="none" w:sz="0" w:space="0" w:color="auto"/>
      </w:divBdr>
    </w:div>
    <w:div w:id="395057914">
      <w:bodyDiv w:val="1"/>
      <w:marLeft w:val="0"/>
      <w:marRight w:val="0"/>
      <w:marTop w:val="0"/>
      <w:marBottom w:val="0"/>
      <w:divBdr>
        <w:top w:val="none" w:sz="0" w:space="0" w:color="auto"/>
        <w:left w:val="none" w:sz="0" w:space="0" w:color="auto"/>
        <w:bottom w:val="none" w:sz="0" w:space="0" w:color="auto"/>
        <w:right w:val="none" w:sz="0" w:space="0" w:color="auto"/>
      </w:divBdr>
    </w:div>
    <w:div w:id="520583584">
      <w:bodyDiv w:val="1"/>
      <w:marLeft w:val="0"/>
      <w:marRight w:val="0"/>
      <w:marTop w:val="0"/>
      <w:marBottom w:val="0"/>
      <w:divBdr>
        <w:top w:val="none" w:sz="0" w:space="0" w:color="auto"/>
        <w:left w:val="none" w:sz="0" w:space="0" w:color="auto"/>
        <w:bottom w:val="none" w:sz="0" w:space="0" w:color="auto"/>
        <w:right w:val="none" w:sz="0" w:space="0" w:color="auto"/>
      </w:divBdr>
    </w:div>
    <w:div w:id="761878801">
      <w:bodyDiv w:val="1"/>
      <w:marLeft w:val="0"/>
      <w:marRight w:val="0"/>
      <w:marTop w:val="0"/>
      <w:marBottom w:val="0"/>
      <w:divBdr>
        <w:top w:val="none" w:sz="0" w:space="0" w:color="auto"/>
        <w:left w:val="none" w:sz="0" w:space="0" w:color="auto"/>
        <w:bottom w:val="none" w:sz="0" w:space="0" w:color="auto"/>
        <w:right w:val="none" w:sz="0" w:space="0" w:color="auto"/>
      </w:divBdr>
    </w:div>
    <w:div w:id="763113437">
      <w:bodyDiv w:val="1"/>
      <w:marLeft w:val="0"/>
      <w:marRight w:val="0"/>
      <w:marTop w:val="0"/>
      <w:marBottom w:val="0"/>
      <w:divBdr>
        <w:top w:val="none" w:sz="0" w:space="0" w:color="auto"/>
        <w:left w:val="none" w:sz="0" w:space="0" w:color="auto"/>
        <w:bottom w:val="none" w:sz="0" w:space="0" w:color="auto"/>
        <w:right w:val="none" w:sz="0" w:space="0" w:color="auto"/>
      </w:divBdr>
    </w:div>
    <w:div w:id="770973709">
      <w:bodyDiv w:val="1"/>
      <w:marLeft w:val="0"/>
      <w:marRight w:val="0"/>
      <w:marTop w:val="0"/>
      <w:marBottom w:val="0"/>
      <w:divBdr>
        <w:top w:val="none" w:sz="0" w:space="0" w:color="auto"/>
        <w:left w:val="none" w:sz="0" w:space="0" w:color="auto"/>
        <w:bottom w:val="none" w:sz="0" w:space="0" w:color="auto"/>
        <w:right w:val="none" w:sz="0" w:space="0" w:color="auto"/>
      </w:divBdr>
      <w:divsChild>
        <w:div w:id="125052505">
          <w:marLeft w:val="0"/>
          <w:marRight w:val="0"/>
          <w:marTop w:val="0"/>
          <w:marBottom w:val="0"/>
          <w:divBdr>
            <w:top w:val="none" w:sz="0" w:space="0" w:color="auto"/>
            <w:left w:val="none" w:sz="0" w:space="0" w:color="auto"/>
            <w:bottom w:val="none" w:sz="0" w:space="0" w:color="auto"/>
            <w:right w:val="none" w:sz="0" w:space="0" w:color="auto"/>
          </w:divBdr>
          <w:divsChild>
            <w:div w:id="839008210">
              <w:marLeft w:val="0"/>
              <w:marRight w:val="0"/>
              <w:marTop w:val="0"/>
              <w:marBottom w:val="0"/>
              <w:divBdr>
                <w:top w:val="none" w:sz="0" w:space="0" w:color="auto"/>
                <w:left w:val="none" w:sz="0" w:space="0" w:color="auto"/>
                <w:bottom w:val="none" w:sz="0" w:space="0" w:color="auto"/>
                <w:right w:val="none" w:sz="0" w:space="0" w:color="auto"/>
              </w:divBdr>
              <w:divsChild>
                <w:div w:id="659694372">
                  <w:marLeft w:val="0"/>
                  <w:marRight w:val="0"/>
                  <w:marTop w:val="0"/>
                  <w:marBottom w:val="0"/>
                  <w:divBdr>
                    <w:top w:val="none" w:sz="0" w:space="0" w:color="auto"/>
                    <w:left w:val="none" w:sz="0" w:space="0" w:color="auto"/>
                    <w:bottom w:val="none" w:sz="0" w:space="0" w:color="auto"/>
                    <w:right w:val="none" w:sz="0" w:space="0" w:color="auto"/>
                  </w:divBdr>
                  <w:divsChild>
                    <w:div w:id="914895406">
                      <w:marLeft w:val="0"/>
                      <w:marRight w:val="0"/>
                      <w:marTop w:val="0"/>
                      <w:marBottom w:val="0"/>
                      <w:divBdr>
                        <w:top w:val="none" w:sz="0" w:space="0" w:color="auto"/>
                        <w:left w:val="none" w:sz="0" w:space="0" w:color="auto"/>
                        <w:bottom w:val="none" w:sz="0" w:space="0" w:color="auto"/>
                        <w:right w:val="none" w:sz="0" w:space="0" w:color="auto"/>
                      </w:divBdr>
                      <w:divsChild>
                        <w:div w:id="776605061">
                          <w:marLeft w:val="0"/>
                          <w:marRight w:val="0"/>
                          <w:marTop w:val="0"/>
                          <w:marBottom w:val="0"/>
                          <w:divBdr>
                            <w:top w:val="none" w:sz="0" w:space="0" w:color="auto"/>
                            <w:left w:val="none" w:sz="0" w:space="0" w:color="auto"/>
                            <w:bottom w:val="none" w:sz="0" w:space="0" w:color="auto"/>
                            <w:right w:val="none" w:sz="0" w:space="0" w:color="auto"/>
                          </w:divBdr>
                          <w:divsChild>
                            <w:div w:id="886990783">
                              <w:marLeft w:val="0"/>
                              <w:marRight w:val="0"/>
                              <w:marTop w:val="0"/>
                              <w:marBottom w:val="0"/>
                              <w:divBdr>
                                <w:top w:val="none" w:sz="0" w:space="0" w:color="auto"/>
                                <w:left w:val="none" w:sz="0" w:space="0" w:color="auto"/>
                                <w:bottom w:val="none" w:sz="0" w:space="0" w:color="auto"/>
                                <w:right w:val="none" w:sz="0" w:space="0" w:color="auto"/>
                              </w:divBdr>
                              <w:divsChild>
                                <w:div w:id="1104963980">
                                  <w:marLeft w:val="0"/>
                                  <w:marRight w:val="0"/>
                                  <w:marTop w:val="0"/>
                                  <w:marBottom w:val="0"/>
                                  <w:divBdr>
                                    <w:top w:val="none" w:sz="0" w:space="0" w:color="auto"/>
                                    <w:left w:val="none" w:sz="0" w:space="0" w:color="auto"/>
                                    <w:bottom w:val="none" w:sz="0" w:space="0" w:color="auto"/>
                                    <w:right w:val="none" w:sz="0" w:space="0" w:color="auto"/>
                                  </w:divBdr>
                                  <w:divsChild>
                                    <w:div w:id="664168570">
                                      <w:marLeft w:val="0"/>
                                      <w:marRight w:val="0"/>
                                      <w:marTop w:val="0"/>
                                      <w:marBottom w:val="0"/>
                                      <w:divBdr>
                                        <w:top w:val="single" w:sz="6" w:space="14" w:color="D1D2D3"/>
                                        <w:left w:val="single" w:sz="6" w:space="9" w:color="D1D2D3"/>
                                        <w:bottom w:val="single" w:sz="6" w:space="13" w:color="D1D2D3"/>
                                        <w:right w:val="single" w:sz="6" w:space="0" w:color="D1D2D3"/>
                                      </w:divBdr>
                                      <w:divsChild>
                                        <w:div w:id="1796677189">
                                          <w:marLeft w:val="0"/>
                                          <w:marRight w:val="225"/>
                                          <w:marTop w:val="0"/>
                                          <w:marBottom w:val="0"/>
                                          <w:divBdr>
                                            <w:top w:val="none" w:sz="0" w:space="0" w:color="auto"/>
                                            <w:left w:val="none" w:sz="0" w:space="0" w:color="auto"/>
                                            <w:bottom w:val="none" w:sz="0" w:space="0" w:color="auto"/>
                                            <w:right w:val="none" w:sz="0" w:space="0" w:color="auto"/>
                                          </w:divBdr>
                                          <w:divsChild>
                                            <w:div w:id="32940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696870">
      <w:bodyDiv w:val="1"/>
      <w:marLeft w:val="0"/>
      <w:marRight w:val="0"/>
      <w:marTop w:val="0"/>
      <w:marBottom w:val="0"/>
      <w:divBdr>
        <w:top w:val="none" w:sz="0" w:space="0" w:color="auto"/>
        <w:left w:val="none" w:sz="0" w:space="0" w:color="auto"/>
        <w:bottom w:val="none" w:sz="0" w:space="0" w:color="auto"/>
        <w:right w:val="none" w:sz="0" w:space="0" w:color="auto"/>
      </w:divBdr>
    </w:div>
    <w:div w:id="897933760">
      <w:bodyDiv w:val="1"/>
      <w:marLeft w:val="0"/>
      <w:marRight w:val="0"/>
      <w:marTop w:val="0"/>
      <w:marBottom w:val="0"/>
      <w:divBdr>
        <w:top w:val="none" w:sz="0" w:space="0" w:color="auto"/>
        <w:left w:val="none" w:sz="0" w:space="0" w:color="auto"/>
        <w:bottom w:val="none" w:sz="0" w:space="0" w:color="auto"/>
        <w:right w:val="none" w:sz="0" w:space="0" w:color="auto"/>
      </w:divBdr>
    </w:div>
    <w:div w:id="1093354075">
      <w:bodyDiv w:val="1"/>
      <w:marLeft w:val="0"/>
      <w:marRight w:val="0"/>
      <w:marTop w:val="0"/>
      <w:marBottom w:val="0"/>
      <w:divBdr>
        <w:top w:val="none" w:sz="0" w:space="0" w:color="auto"/>
        <w:left w:val="none" w:sz="0" w:space="0" w:color="auto"/>
        <w:bottom w:val="none" w:sz="0" w:space="0" w:color="auto"/>
        <w:right w:val="none" w:sz="0" w:space="0" w:color="auto"/>
      </w:divBdr>
    </w:div>
    <w:div w:id="1104882865">
      <w:bodyDiv w:val="1"/>
      <w:marLeft w:val="0"/>
      <w:marRight w:val="0"/>
      <w:marTop w:val="0"/>
      <w:marBottom w:val="0"/>
      <w:divBdr>
        <w:top w:val="none" w:sz="0" w:space="0" w:color="auto"/>
        <w:left w:val="none" w:sz="0" w:space="0" w:color="auto"/>
        <w:bottom w:val="none" w:sz="0" w:space="0" w:color="auto"/>
        <w:right w:val="none" w:sz="0" w:space="0" w:color="auto"/>
      </w:divBdr>
    </w:div>
    <w:div w:id="1107312737">
      <w:bodyDiv w:val="1"/>
      <w:marLeft w:val="0"/>
      <w:marRight w:val="0"/>
      <w:marTop w:val="0"/>
      <w:marBottom w:val="0"/>
      <w:divBdr>
        <w:top w:val="none" w:sz="0" w:space="0" w:color="auto"/>
        <w:left w:val="none" w:sz="0" w:space="0" w:color="auto"/>
        <w:bottom w:val="none" w:sz="0" w:space="0" w:color="auto"/>
        <w:right w:val="none" w:sz="0" w:space="0" w:color="auto"/>
      </w:divBdr>
    </w:div>
    <w:div w:id="1208372706">
      <w:bodyDiv w:val="1"/>
      <w:marLeft w:val="0"/>
      <w:marRight w:val="0"/>
      <w:marTop w:val="0"/>
      <w:marBottom w:val="0"/>
      <w:divBdr>
        <w:top w:val="none" w:sz="0" w:space="0" w:color="auto"/>
        <w:left w:val="none" w:sz="0" w:space="0" w:color="auto"/>
        <w:bottom w:val="none" w:sz="0" w:space="0" w:color="auto"/>
        <w:right w:val="none" w:sz="0" w:space="0" w:color="auto"/>
      </w:divBdr>
    </w:div>
    <w:div w:id="1315259995">
      <w:bodyDiv w:val="1"/>
      <w:marLeft w:val="0"/>
      <w:marRight w:val="0"/>
      <w:marTop w:val="0"/>
      <w:marBottom w:val="0"/>
      <w:divBdr>
        <w:top w:val="none" w:sz="0" w:space="0" w:color="auto"/>
        <w:left w:val="none" w:sz="0" w:space="0" w:color="auto"/>
        <w:bottom w:val="none" w:sz="0" w:space="0" w:color="auto"/>
        <w:right w:val="none" w:sz="0" w:space="0" w:color="auto"/>
      </w:divBdr>
    </w:div>
    <w:div w:id="1387949320">
      <w:bodyDiv w:val="1"/>
      <w:marLeft w:val="0"/>
      <w:marRight w:val="0"/>
      <w:marTop w:val="0"/>
      <w:marBottom w:val="0"/>
      <w:divBdr>
        <w:top w:val="none" w:sz="0" w:space="0" w:color="auto"/>
        <w:left w:val="none" w:sz="0" w:space="0" w:color="auto"/>
        <w:bottom w:val="none" w:sz="0" w:space="0" w:color="auto"/>
        <w:right w:val="none" w:sz="0" w:space="0" w:color="auto"/>
      </w:divBdr>
    </w:div>
    <w:div w:id="1509297219">
      <w:bodyDiv w:val="1"/>
      <w:marLeft w:val="0"/>
      <w:marRight w:val="0"/>
      <w:marTop w:val="0"/>
      <w:marBottom w:val="0"/>
      <w:divBdr>
        <w:top w:val="none" w:sz="0" w:space="0" w:color="auto"/>
        <w:left w:val="none" w:sz="0" w:space="0" w:color="auto"/>
        <w:bottom w:val="none" w:sz="0" w:space="0" w:color="auto"/>
        <w:right w:val="none" w:sz="0" w:space="0" w:color="auto"/>
      </w:divBdr>
    </w:div>
    <w:div w:id="1512531499">
      <w:bodyDiv w:val="1"/>
      <w:marLeft w:val="0"/>
      <w:marRight w:val="0"/>
      <w:marTop w:val="0"/>
      <w:marBottom w:val="0"/>
      <w:divBdr>
        <w:top w:val="none" w:sz="0" w:space="0" w:color="auto"/>
        <w:left w:val="none" w:sz="0" w:space="0" w:color="auto"/>
        <w:bottom w:val="none" w:sz="0" w:space="0" w:color="auto"/>
        <w:right w:val="none" w:sz="0" w:space="0" w:color="auto"/>
      </w:divBdr>
    </w:div>
    <w:div w:id="1529173079">
      <w:bodyDiv w:val="1"/>
      <w:marLeft w:val="0"/>
      <w:marRight w:val="0"/>
      <w:marTop w:val="0"/>
      <w:marBottom w:val="0"/>
      <w:divBdr>
        <w:top w:val="none" w:sz="0" w:space="0" w:color="auto"/>
        <w:left w:val="none" w:sz="0" w:space="0" w:color="auto"/>
        <w:bottom w:val="none" w:sz="0" w:space="0" w:color="auto"/>
        <w:right w:val="none" w:sz="0" w:space="0" w:color="auto"/>
      </w:divBdr>
    </w:div>
    <w:div w:id="1730836391">
      <w:bodyDiv w:val="1"/>
      <w:marLeft w:val="0"/>
      <w:marRight w:val="0"/>
      <w:marTop w:val="0"/>
      <w:marBottom w:val="0"/>
      <w:divBdr>
        <w:top w:val="none" w:sz="0" w:space="0" w:color="auto"/>
        <w:left w:val="none" w:sz="0" w:space="0" w:color="auto"/>
        <w:bottom w:val="none" w:sz="0" w:space="0" w:color="auto"/>
        <w:right w:val="none" w:sz="0" w:space="0" w:color="auto"/>
      </w:divBdr>
    </w:div>
    <w:div w:id="1746683370">
      <w:bodyDiv w:val="1"/>
      <w:marLeft w:val="0"/>
      <w:marRight w:val="0"/>
      <w:marTop w:val="0"/>
      <w:marBottom w:val="0"/>
      <w:divBdr>
        <w:top w:val="none" w:sz="0" w:space="0" w:color="auto"/>
        <w:left w:val="none" w:sz="0" w:space="0" w:color="auto"/>
        <w:bottom w:val="none" w:sz="0" w:space="0" w:color="auto"/>
        <w:right w:val="none" w:sz="0" w:space="0" w:color="auto"/>
      </w:divBdr>
      <w:divsChild>
        <w:div w:id="1399211422">
          <w:marLeft w:val="0"/>
          <w:marRight w:val="0"/>
          <w:marTop w:val="0"/>
          <w:marBottom w:val="0"/>
          <w:divBdr>
            <w:top w:val="none" w:sz="0" w:space="0" w:color="auto"/>
            <w:left w:val="none" w:sz="0" w:space="0" w:color="auto"/>
            <w:bottom w:val="none" w:sz="0" w:space="0" w:color="auto"/>
            <w:right w:val="none" w:sz="0" w:space="0" w:color="auto"/>
          </w:divBdr>
          <w:divsChild>
            <w:div w:id="1470787227">
              <w:marLeft w:val="-75"/>
              <w:marRight w:val="-75"/>
              <w:marTop w:val="0"/>
              <w:marBottom w:val="0"/>
              <w:divBdr>
                <w:top w:val="none" w:sz="0" w:space="0" w:color="auto"/>
                <w:left w:val="none" w:sz="0" w:space="0" w:color="auto"/>
                <w:bottom w:val="none" w:sz="0" w:space="0" w:color="auto"/>
                <w:right w:val="none" w:sz="0" w:space="0" w:color="auto"/>
              </w:divBdr>
              <w:divsChild>
                <w:div w:id="1662734230">
                  <w:marLeft w:val="0"/>
                  <w:marRight w:val="0"/>
                  <w:marTop w:val="0"/>
                  <w:marBottom w:val="0"/>
                  <w:divBdr>
                    <w:top w:val="none" w:sz="0" w:space="0" w:color="auto"/>
                    <w:left w:val="none" w:sz="0" w:space="0" w:color="auto"/>
                    <w:bottom w:val="none" w:sz="0" w:space="0" w:color="auto"/>
                    <w:right w:val="none" w:sz="0" w:space="0" w:color="auto"/>
                  </w:divBdr>
                  <w:divsChild>
                    <w:div w:id="86385612">
                      <w:marLeft w:val="0"/>
                      <w:marRight w:val="0"/>
                      <w:marTop w:val="0"/>
                      <w:marBottom w:val="0"/>
                      <w:divBdr>
                        <w:top w:val="none" w:sz="0" w:space="0" w:color="auto"/>
                        <w:left w:val="none" w:sz="0" w:space="0" w:color="auto"/>
                        <w:bottom w:val="none" w:sz="0" w:space="0" w:color="auto"/>
                        <w:right w:val="none" w:sz="0" w:space="0" w:color="auto"/>
                      </w:divBdr>
                      <w:divsChild>
                        <w:div w:id="10349613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37761436">
      <w:bodyDiv w:val="1"/>
      <w:marLeft w:val="0"/>
      <w:marRight w:val="0"/>
      <w:marTop w:val="0"/>
      <w:marBottom w:val="0"/>
      <w:divBdr>
        <w:top w:val="none" w:sz="0" w:space="0" w:color="auto"/>
        <w:left w:val="none" w:sz="0" w:space="0" w:color="auto"/>
        <w:bottom w:val="none" w:sz="0" w:space="0" w:color="auto"/>
        <w:right w:val="none" w:sz="0" w:space="0" w:color="auto"/>
      </w:divBdr>
      <w:divsChild>
        <w:div w:id="941452258">
          <w:marLeft w:val="0"/>
          <w:marRight w:val="0"/>
          <w:marTop w:val="0"/>
          <w:marBottom w:val="0"/>
          <w:divBdr>
            <w:top w:val="none" w:sz="0" w:space="0" w:color="auto"/>
            <w:left w:val="none" w:sz="0" w:space="0" w:color="auto"/>
            <w:bottom w:val="none" w:sz="0" w:space="0" w:color="auto"/>
            <w:right w:val="none" w:sz="0" w:space="0" w:color="auto"/>
          </w:divBdr>
          <w:divsChild>
            <w:div w:id="1275290169">
              <w:marLeft w:val="-75"/>
              <w:marRight w:val="-75"/>
              <w:marTop w:val="0"/>
              <w:marBottom w:val="0"/>
              <w:divBdr>
                <w:top w:val="none" w:sz="0" w:space="0" w:color="auto"/>
                <w:left w:val="none" w:sz="0" w:space="0" w:color="auto"/>
                <w:bottom w:val="none" w:sz="0" w:space="0" w:color="auto"/>
                <w:right w:val="none" w:sz="0" w:space="0" w:color="auto"/>
              </w:divBdr>
              <w:divsChild>
                <w:div w:id="1018701498">
                  <w:marLeft w:val="0"/>
                  <w:marRight w:val="0"/>
                  <w:marTop w:val="0"/>
                  <w:marBottom w:val="0"/>
                  <w:divBdr>
                    <w:top w:val="none" w:sz="0" w:space="0" w:color="auto"/>
                    <w:left w:val="none" w:sz="0" w:space="0" w:color="auto"/>
                    <w:bottom w:val="none" w:sz="0" w:space="0" w:color="auto"/>
                    <w:right w:val="none" w:sz="0" w:space="0" w:color="auto"/>
                  </w:divBdr>
                  <w:divsChild>
                    <w:div w:id="1045444216">
                      <w:marLeft w:val="0"/>
                      <w:marRight w:val="0"/>
                      <w:marTop w:val="0"/>
                      <w:marBottom w:val="0"/>
                      <w:divBdr>
                        <w:top w:val="none" w:sz="0" w:space="0" w:color="auto"/>
                        <w:left w:val="none" w:sz="0" w:space="0" w:color="auto"/>
                        <w:bottom w:val="none" w:sz="0" w:space="0" w:color="auto"/>
                        <w:right w:val="none" w:sz="0" w:space="0" w:color="auto"/>
                      </w:divBdr>
                      <w:divsChild>
                        <w:div w:id="16021849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5195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768</TotalTime>
  <Pages>2</Pages>
  <Words>818</Words>
  <Characters>4667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KAU</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Баева Светлана Александровна</dc:creator>
  <cp:keywords/>
  <dc:description/>
  <cp:lastModifiedBy>Галимова Альмира Рифгатовна</cp:lastModifiedBy>
  <cp:revision>114</cp:revision>
  <dcterms:created xsi:type="dcterms:W3CDTF">2019-09-19T08:11:00Z</dcterms:created>
  <dcterms:modified xsi:type="dcterms:W3CDTF">2024-08-20T09:31:00Z</dcterms:modified>
</cp:coreProperties>
</file>