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</w:t>
      </w:r>
      <w:r w:rsidR="00B756B2">
        <w:t>интез-Каучук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</w:t>
      </w:r>
      <w:r w:rsidR="00B756B2">
        <w:t>АО «Синтез-Каучук</w:t>
      </w:r>
      <w:r w:rsidR="00B756B2">
        <w:t>»</w:t>
      </w:r>
      <w:r>
        <w:t>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</w:t>
      </w:r>
      <w:r w:rsidR="00B756B2">
        <w:t>0</w:t>
      </w:r>
      <w:r>
        <w:t>, АО «</w:t>
      </w:r>
      <w:r w:rsidR="00B756B2">
        <w:t>АО «Синтез-Каучук</w:t>
      </w:r>
      <w:r>
        <w:t>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</w:t>
      </w:r>
      <w:r w:rsidR="00B756B2">
        <w:t>АО «Синтез-Каучук</w:t>
      </w:r>
      <w:r w:rsidR="00B756B2">
        <w:t>»</w:t>
      </w:r>
      <w:r w:rsidR="00EF2B21">
        <w:t xml:space="preserve">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5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418"/>
        <w:gridCol w:w="3402"/>
        <w:gridCol w:w="1276"/>
        <w:gridCol w:w="992"/>
        <w:gridCol w:w="1517"/>
      </w:tblGrid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И-5П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19895АС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B41E4">
              <w:rPr>
                <w:color w:val="000000" w:themeColor="text1"/>
              </w:rPr>
              <w:t>Площадка для обслуживания приборов «Спрут-2»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Синтетические каучуки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08-23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4 740,56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ИП-2-6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18674АС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341E02">
              <w:rPr>
                <w:color w:val="000000" w:themeColor="text1"/>
              </w:rPr>
              <w:t xml:space="preserve">Установка </w:t>
            </w:r>
            <w:proofErr w:type="spellStart"/>
            <w:r w:rsidRPr="00341E02">
              <w:rPr>
                <w:color w:val="000000" w:themeColor="text1"/>
              </w:rPr>
              <w:t>запально</w:t>
            </w:r>
            <w:proofErr w:type="spellEnd"/>
            <w:r w:rsidRPr="00341E02">
              <w:rPr>
                <w:color w:val="000000" w:themeColor="text1"/>
              </w:rPr>
              <w:t>-защитных устройств на печи №3-3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139-23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5 837,6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ИП-2-6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18674ТХ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341E02">
              <w:rPr>
                <w:color w:val="000000" w:themeColor="text1"/>
              </w:rPr>
              <w:t xml:space="preserve">Установка </w:t>
            </w:r>
            <w:proofErr w:type="spellStart"/>
            <w:r w:rsidRPr="00341E02">
              <w:rPr>
                <w:color w:val="000000" w:themeColor="text1"/>
              </w:rPr>
              <w:t>запально</w:t>
            </w:r>
            <w:proofErr w:type="spellEnd"/>
            <w:r w:rsidRPr="00341E02">
              <w:rPr>
                <w:color w:val="000000" w:themeColor="text1"/>
              </w:rPr>
              <w:t>-защитных устройств на печи №3-3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140-23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98 753,29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И-2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19420АС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341E02">
              <w:rPr>
                <w:color w:val="000000" w:themeColor="text1"/>
              </w:rPr>
              <w:t>Монорельс над аппаратами №114/1-10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281-22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38 631,00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И-4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19776ТХ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341E02">
              <w:rPr>
                <w:color w:val="000000" w:themeColor="text1"/>
              </w:rPr>
              <w:t>Установка фильтров на трубопроводах всасывания насосов №161/1-3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150-22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6 357,52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И-7-10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19800АС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proofErr w:type="spellStart"/>
            <w:r w:rsidRPr="00341E02">
              <w:rPr>
                <w:color w:val="000000" w:themeColor="text1"/>
              </w:rPr>
              <w:t>Переобвязка</w:t>
            </w:r>
            <w:proofErr w:type="spellEnd"/>
            <w:r w:rsidRPr="00341E02">
              <w:rPr>
                <w:color w:val="000000" w:themeColor="text1"/>
              </w:rPr>
              <w:t xml:space="preserve"> теплообменника №352/2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276-22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559,8</w:t>
            </w:r>
          </w:p>
        </w:tc>
      </w:tr>
      <w:tr w:rsidR="00B756B2" w:rsidRPr="00771FDC" w:rsidTr="00B756B2">
        <w:tc>
          <w:tcPr>
            <w:tcW w:w="560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И-7-10</w:t>
            </w:r>
          </w:p>
        </w:tc>
        <w:tc>
          <w:tcPr>
            <w:tcW w:w="1418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19800ТХ</w:t>
            </w:r>
          </w:p>
        </w:tc>
        <w:tc>
          <w:tcPr>
            <w:tcW w:w="340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proofErr w:type="spellStart"/>
            <w:r w:rsidRPr="00341E02">
              <w:rPr>
                <w:color w:val="000000" w:themeColor="text1"/>
              </w:rPr>
              <w:t>Переобвязка</w:t>
            </w:r>
            <w:proofErr w:type="spellEnd"/>
            <w:r w:rsidRPr="00341E02">
              <w:rPr>
                <w:color w:val="000000" w:themeColor="text1"/>
              </w:rPr>
              <w:t xml:space="preserve"> теплообменника №352/2</w:t>
            </w:r>
          </w:p>
        </w:tc>
        <w:tc>
          <w:tcPr>
            <w:tcW w:w="1276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изопрена</w:t>
            </w:r>
          </w:p>
        </w:tc>
        <w:tc>
          <w:tcPr>
            <w:tcW w:w="992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277-22</w:t>
            </w:r>
          </w:p>
        </w:tc>
        <w:tc>
          <w:tcPr>
            <w:tcW w:w="1517" w:type="dxa"/>
          </w:tcPr>
          <w:p w:rsidR="00B756B2" w:rsidRPr="00771FDC" w:rsidRDefault="00B756B2" w:rsidP="009669D6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23 075,72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B756B2" w:rsidRDefault="00EF2B21" w:rsidP="00B756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40" w:lineRule="auto"/>
        <w:ind w:left="400"/>
      </w:pPr>
      <w:bookmarkStart w:id="5" w:name="bookmark6"/>
      <w:r>
        <w:t>Сроки строительства (работ</w:t>
      </w:r>
      <w:r w:rsidR="006C5495">
        <w:t xml:space="preserve">, услуг): </w:t>
      </w:r>
    </w:p>
    <w:p w:rsidR="00EE3441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  <w:r>
        <w:t>О</w:t>
      </w:r>
      <w:r w:rsidR="006C5495">
        <w:t>риентировочно</w:t>
      </w:r>
      <w:bookmarkEnd w:id="5"/>
      <w:r>
        <w:t>:</w:t>
      </w:r>
    </w:p>
    <w:p w:rsidR="00B756B2" w:rsidRPr="00984E2C" w:rsidRDefault="00B756B2" w:rsidP="00B756B2">
      <w:pPr>
        <w:pStyle w:val="70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 </w:t>
      </w:r>
      <w:r w:rsidRPr="00984E2C">
        <w:rPr>
          <w:b w:val="0"/>
          <w:sz w:val="22"/>
          <w:szCs w:val="22"/>
        </w:rPr>
        <w:t>ЛСР №139-23, 140-23– 29.12.2023г</w:t>
      </w:r>
    </w:p>
    <w:p w:rsidR="00B756B2" w:rsidRPr="00984E2C" w:rsidRDefault="00B756B2" w:rsidP="00B756B2">
      <w:pPr>
        <w:pStyle w:val="70"/>
        <w:spacing w:line="240" w:lineRule="auto"/>
        <w:ind w:left="300"/>
        <w:rPr>
          <w:b w:val="0"/>
          <w:sz w:val="22"/>
          <w:szCs w:val="22"/>
        </w:rPr>
      </w:pPr>
      <w:r w:rsidRPr="00984E2C">
        <w:rPr>
          <w:b w:val="0"/>
          <w:sz w:val="22"/>
          <w:szCs w:val="22"/>
        </w:rPr>
        <w:t>2.</w:t>
      </w:r>
      <w:r w:rsidRPr="00984E2C">
        <w:rPr>
          <w:b w:val="0"/>
          <w:sz w:val="22"/>
          <w:szCs w:val="22"/>
        </w:rPr>
        <w:tab/>
        <w:t>ЛСР №276-22– 31.10.2023г</w:t>
      </w:r>
    </w:p>
    <w:p w:rsidR="00B756B2" w:rsidRPr="00984E2C" w:rsidRDefault="00B756B2" w:rsidP="00B756B2">
      <w:pPr>
        <w:pStyle w:val="70"/>
        <w:spacing w:line="240" w:lineRule="auto"/>
        <w:ind w:left="300"/>
        <w:rPr>
          <w:b w:val="0"/>
          <w:sz w:val="22"/>
          <w:szCs w:val="22"/>
        </w:rPr>
      </w:pPr>
      <w:r w:rsidRPr="00984E2C">
        <w:rPr>
          <w:b w:val="0"/>
          <w:sz w:val="22"/>
          <w:szCs w:val="22"/>
        </w:rPr>
        <w:t>3.</w:t>
      </w:r>
      <w:r w:rsidRPr="00984E2C">
        <w:rPr>
          <w:b w:val="0"/>
          <w:sz w:val="22"/>
          <w:szCs w:val="22"/>
        </w:rPr>
        <w:tab/>
        <w:t>ЛСР №150-22– 30.09.2023г</w:t>
      </w:r>
    </w:p>
    <w:p w:rsidR="00B756B2" w:rsidRDefault="00B756B2" w:rsidP="00B756B2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 w:rsidRPr="00984E2C">
        <w:rPr>
          <w:b w:val="0"/>
          <w:sz w:val="22"/>
          <w:szCs w:val="22"/>
        </w:rPr>
        <w:t>4.</w:t>
      </w:r>
      <w:r w:rsidRPr="00984E2C">
        <w:rPr>
          <w:b w:val="0"/>
          <w:sz w:val="22"/>
          <w:szCs w:val="22"/>
        </w:rPr>
        <w:tab/>
        <w:t>ЛСР №281-22– 31.08.2023г</w:t>
      </w:r>
    </w:p>
    <w:p w:rsidR="00B756B2" w:rsidRPr="00984E2C" w:rsidRDefault="00B756B2" w:rsidP="00B756B2">
      <w:pPr>
        <w:pStyle w:val="70"/>
        <w:shd w:val="clear" w:color="auto" w:fill="auto"/>
        <w:spacing w:line="240" w:lineRule="auto"/>
        <w:ind w:left="3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  </w:t>
      </w:r>
      <w:r w:rsidRPr="00D36C1E">
        <w:rPr>
          <w:b w:val="0"/>
          <w:sz w:val="22"/>
          <w:szCs w:val="22"/>
        </w:rPr>
        <w:t>ЛСР №08-23– 31.08.2023г</w:t>
      </w:r>
    </w:p>
    <w:p w:rsidR="00B756B2" w:rsidRDefault="00B756B2" w:rsidP="00B756B2">
      <w:pPr>
        <w:pStyle w:val="30"/>
        <w:keepNext/>
        <w:keepLines/>
        <w:shd w:val="clear" w:color="auto" w:fill="auto"/>
        <w:tabs>
          <w:tab w:val="left" w:pos="1560"/>
        </w:tabs>
        <w:spacing w:line="240" w:lineRule="auto"/>
        <w:ind w:left="400"/>
      </w:pPr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6" w:name="bookmark7"/>
      <w:r>
        <w:t>Режим выполнения работ:</w:t>
      </w:r>
      <w:bookmarkEnd w:id="6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7" w:name="bookmark8"/>
      <w:r>
        <w:t>Требования к Подрядчику:</w:t>
      </w:r>
      <w:bookmarkEnd w:id="7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8" w:name="bookmark9"/>
      <w:r>
        <w:t>Протоколы</w:t>
      </w:r>
      <w:r>
        <w:tab/>
        <w:t>по аттестации промышленной безопасности:</w:t>
      </w:r>
      <w:bookmarkEnd w:id="8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lastRenderedPageBreak/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 xml:space="preserve">должны быть подписаны </w:t>
      </w:r>
      <w:r w:rsidR="00EF2B21">
        <w:lastRenderedPageBreak/>
        <w:t>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proofErr w:type="gramStart"/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</w:t>
      </w:r>
      <w:proofErr w:type="gramEnd"/>
      <w:r w:rsidR="00EF2B21">
        <w:t xml:space="preserve"> </w:t>
      </w:r>
      <w:proofErr w:type="gramStart"/>
      <w:r w:rsidR="00EF2B21">
        <w:t>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</w:t>
      </w:r>
      <w:proofErr w:type="gramEnd"/>
      <w:r w:rsidR="00EF2B21">
        <w:t xml:space="preserve"> «С</w:t>
      </w:r>
      <w:r w:rsidR="00B756B2">
        <w:t>интез-Каучук</w:t>
      </w:r>
      <w:r w:rsidR="00EF2B21">
        <w:t>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proofErr w:type="gramStart"/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</w:t>
      </w:r>
      <w:r w:rsidR="00B756B2">
        <w:t>АО «Синтез-Каучук</w:t>
      </w:r>
      <w:r w:rsidR="00EF2B21">
        <w:t>», согласно постановления Правительства РФ от 30.11.2021г. №2107 «О внесении изменений в некоторые акты Правительства</w:t>
      </w:r>
      <w:proofErr w:type="gramEnd"/>
      <w:r w:rsidR="00EF2B21">
        <w:t xml:space="preserve">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0" w:name="bookmark11"/>
      <w:r w:rsidRPr="00C5674F">
        <w:rPr>
          <w:b/>
        </w:rPr>
        <w:t>Материалы, используемые в ходе выполнения работ:</w:t>
      </w:r>
      <w:bookmarkEnd w:id="10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1" w:name="bookmark12"/>
      <w:r>
        <w:t>Поставка Заказчика</w:t>
      </w:r>
      <w:bookmarkEnd w:id="11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2" w:name="bookmark13"/>
      <w:r>
        <w:t>Поставка Подрядчика</w:t>
      </w:r>
      <w:bookmarkEnd w:id="12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</w:t>
      </w:r>
      <w:r w:rsidR="00B756B2">
        <w:t>АО «Синтез-</w:t>
      </w:r>
      <w:r w:rsidR="00B756B2">
        <w:lastRenderedPageBreak/>
        <w:t>Каучук</w:t>
      </w:r>
      <w:r>
        <w:t>».</w:t>
      </w:r>
    </w:p>
    <w:p w:rsidR="00EE3441" w:rsidRDefault="00EF2B21" w:rsidP="00D30C54">
      <w:pPr>
        <w:pStyle w:val="11"/>
        <w:shd w:val="clear" w:color="auto" w:fill="auto"/>
        <w:ind w:left="20" w:right="20" w:firstLine="760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3" w:name="bookmark14"/>
      <w:r>
        <w:t>Требования к опыту производства работ</w:t>
      </w:r>
      <w:bookmarkEnd w:id="13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4" w:name="bookmark15"/>
      <w:r>
        <w:t>Требования</w:t>
      </w:r>
      <w:r>
        <w:tab/>
        <w:t>к расчету стоимости и условия оплаты</w:t>
      </w:r>
      <w:bookmarkEnd w:id="14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5" w:name="bookmark16"/>
      <w:r>
        <w:t>Условия привлечения субподрядных организация</w:t>
      </w:r>
      <w:bookmarkEnd w:id="15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6" w:name="bookmark17"/>
      <w:r>
        <w:t>Нормативные требования к качеству работ, их результату</w:t>
      </w:r>
      <w:bookmarkEnd w:id="16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5F0E2F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 xml:space="preserve"> </w:t>
      </w:r>
      <w:bookmarkStart w:id="17" w:name="_GoBack"/>
      <w:bookmarkEnd w:id="17"/>
      <w:r w:rsidR="00EF2B21"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C" w:rsidRDefault="00E210AC">
      <w:r>
        <w:separator/>
      </w:r>
    </w:p>
  </w:endnote>
  <w:endnote w:type="continuationSeparator" w:id="0">
    <w:p w:rsidR="00E210AC" w:rsidRDefault="00E2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C" w:rsidRDefault="00E210AC"/>
  </w:footnote>
  <w:footnote w:type="continuationSeparator" w:id="0">
    <w:p w:rsidR="00E210AC" w:rsidRDefault="00E21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83453"/>
    <w:rsid w:val="000C04E5"/>
    <w:rsid w:val="000C7747"/>
    <w:rsid w:val="00102DB2"/>
    <w:rsid w:val="00277FC3"/>
    <w:rsid w:val="003F1B4E"/>
    <w:rsid w:val="0040282C"/>
    <w:rsid w:val="00413BD6"/>
    <w:rsid w:val="00471E45"/>
    <w:rsid w:val="005F0E2F"/>
    <w:rsid w:val="0061298C"/>
    <w:rsid w:val="006227D5"/>
    <w:rsid w:val="006C5495"/>
    <w:rsid w:val="0072651F"/>
    <w:rsid w:val="007473DA"/>
    <w:rsid w:val="007B6AE8"/>
    <w:rsid w:val="008378C5"/>
    <w:rsid w:val="00925C18"/>
    <w:rsid w:val="009E16D5"/>
    <w:rsid w:val="00A07056"/>
    <w:rsid w:val="00AA09A1"/>
    <w:rsid w:val="00B0060F"/>
    <w:rsid w:val="00B32E2A"/>
    <w:rsid w:val="00B43741"/>
    <w:rsid w:val="00B756B2"/>
    <w:rsid w:val="00BD607D"/>
    <w:rsid w:val="00BE59F5"/>
    <w:rsid w:val="00C5674F"/>
    <w:rsid w:val="00C63893"/>
    <w:rsid w:val="00C83265"/>
    <w:rsid w:val="00CD45A7"/>
    <w:rsid w:val="00D30C54"/>
    <w:rsid w:val="00D63411"/>
    <w:rsid w:val="00DE3D8A"/>
    <w:rsid w:val="00E210AC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B756B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56B2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670-D74D-4940-8F1C-275A6A44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27</cp:revision>
  <dcterms:created xsi:type="dcterms:W3CDTF">2023-07-17T04:55:00Z</dcterms:created>
  <dcterms:modified xsi:type="dcterms:W3CDTF">2023-07-20T10:01:00Z</dcterms:modified>
</cp:coreProperties>
</file>